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B432B4" w:rsidRDefault="00B959AA" w:rsidP="0011106F">
      <w:pPr>
        <w:pStyle w:val="NoSpacing"/>
        <w:jc w:val="center"/>
        <w:rPr>
          <w:rFonts w:ascii="Candara" w:hAnsi="Candara" w:cstheme="minorHAnsi"/>
          <w:b/>
          <w:sz w:val="22"/>
          <w:szCs w:val="22"/>
        </w:rPr>
      </w:pPr>
      <w:r w:rsidRPr="00B432B4">
        <w:rPr>
          <w:rFonts w:ascii="Candara" w:hAnsi="Candara" w:cstheme="minorHAnsi"/>
          <w:b/>
          <w:sz w:val="22"/>
          <w:szCs w:val="22"/>
        </w:rPr>
        <w:t>THE GRAND FORKS COUNTY WATER RESOURCE DISTRICT</w:t>
      </w:r>
    </w:p>
    <w:p w14:paraId="450A6019" w14:textId="77777777" w:rsidR="00825082" w:rsidRPr="00B432B4" w:rsidRDefault="00C748F6" w:rsidP="00C748F6">
      <w:pPr>
        <w:jc w:val="center"/>
        <w:rPr>
          <w:rFonts w:ascii="Candara" w:hAnsi="Candara" w:cstheme="minorHAnsi"/>
          <w:b/>
          <w:sz w:val="22"/>
          <w:szCs w:val="22"/>
        </w:rPr>
      </w:pPr>
      <w:r w:rsidRPr="00B432B4">
        <w:rPr>
          <w:rFonts w:ascii="Candara" w:hAnsi="Candara" w:cstheme="minorHAnsi"/>
          <w:b/>
          <w:sz w:val="22"/>
          <w:szCs w:val="22"/>
        </w:rPr>
        <w:t>151 S. 4</w:t>
      </w:r>
      <w:r w:rsidRPr="00B432B4">
        <w:rPr>
          <w:rFonts w:ascii="Candara" w:hAnsi="Candara" w:cstheme="minorHAnsi"/>
          <w:b/>
          <w:sz w:val="22"/>
          <w:szCs w:val="22"/>
          <w:vertAlign w:val="superscript"/>
        </w:rPr>
        <w:t>th</w:t>
      </w:r>
      <w:r w:rsidRPr="00B432B4">
        <w:rPr>
          <w:rFonts w:ascii="Candara" w:hAnsi="Candara" w:cstheme="minorHAnsi"/>
          <w:b/>
          <w:sz w:val="22"/>
          <w:szCs w:val="22"/>
        </w:rPr>
        <w:t xml:space="preserve"> St, Suite 348</w:t>
      </w:r>
      <w:r w:rsidR="00825082" w:rsidRPr="00B432B4">
        <w:rPr>
          <w:rStyle w:val="lrzxr"/>
          <w:rFonts w:ascii="Candara" w:hAnsi="Candara" w:cstheme="minorHAnsi"/>
          <w:b/>
          <w:color w:val="222222"/>
          <w:sz w:val="22"/>
          <w:szCs w:val="22"/>
        </w:rPr>
        <w:t>, Grand Forks, ND 58203</w:t>
      </w:r>
    </w:p>
    <w:p w14:paraId="3A156EBB" w14:textId="13A970D8" w:rsidR="00C5624D" w:rsidRPr="00B432B4" w:rsidRDefault="00976677" w:rsidP="00C5624D">
      <w:pPr>
        <w:jc w:val="center"/>
        <w:rPr>
          <w:rFonts w:ascii="Candara" w:hAnsi="Candara" w:cstheme="minorHAnsi"/>
          <w:b/>
          <w:sz w:val="22"/>
          <w:szCs w:val="22"/>
        </w:rPr>
      </w:pPr>
      <w:r>
        <w:rPr>
          <w:rFonts w:ascii="Candara" w:hAnsi="Candara" w:cstheme="minorHAnsi"/>
          <w:b/>
          <w:sz w:val="22"/>
          <w:szCs w:val="22"/>
        </w:rPr>
        <w:t>July 19</w:t>
      </w:r>
      <w:r w:rsidR="00E812E3" w:rsidRPr="00B432B4">
        <w:rPr>
          <w:rFonts w:ascii="Candara" w:hAnsi="Candara" w:cstheme="minorHAnsi"/>
          <w:b/>
          <w:sz w:val="22"/>
          <w:szCs w:val="22"/>
        </w:rPr>
        <w:t>, 202</w:t>
      </w:r>
      <w:r w:rsidR="00287955" w:rsidRPr="00B432B4">
        <w:rPr>
          <w:rFonts w:ascii="Candara" w:hAnsi="Candara" w:cstheme="minorHAnsi"/>
          <w:b/>
          <w:sz w:val="22"/>
          <w:szCs w:val="22"/>
        </w:rPr>
        <w:t>3</w:t>
      </w:r>
    </w:p>
    <w:p w14:paraId="6345D8FE" w14:textId="77777777" w:rsidR="004A58A9" w:rsidRPr="00B432B4" w:rsidRDefault="004A58A9" w:rsidP="0011106F">
      <w:pPr>
        <w:jc w:val="both"/>
        <w:rPr>
          <w:rFonts w:ascii="Candara" w:hAnsi="Candara" w:cstheme="minorHAnsi"/>
          <w:b/>
          <w:bCs/>
          <w:sz w:val="22"/>
          <w:szCs w:val="22"/>
        </w:rPr>
      </w:pPr>
    </w:p>
    <w:p w14:paraId="09A2790B" w14:textId="77777777" w:rsidR="00445391" w:rsidRPr="00B432B4" w:rsidRDefault="00445391" w:rsidP="0011106F">
      <w:pPr>
        <w:jc w:val="both"/>
        <w:rPr>
          <w:rFonts w:ascii="Candara" w:hAnsi="Candara" w:cstheme="minorHAnsi"/>
          <w:b/>
          <w:bCs/>
          <w:sz w:val="22"/>
          <w:szCs w:val="22"/>
        </w:rPr>
      </w:pPr>
    </w:p>
    <w:p w14:paraId="390A5CA2" w14:textId="42A108F4" w:rsidR="007B0502" w:rsidRPr="00B432B4" w:rsidRDefault="00EE5CDD" w:rsidP="00E94BD6">
      <w:pPr>
        <w:rPr>
          <w:rFonts w:ascii="Candara" w:eastAsia="Arial Unicode MS" w:hAnsi="Candara" w:cstheme="minorHAnsi"/>
          <w:sz w:val="22"/>
          <w:szCs w:val="22"/>
        </w:rPr>
      </w:pPr>
      <w:r w:rsidRPr="00B432B4">
        <w:rPr>
          <w:rFonts w:ascii="Candara" w:eastAsia="Arial Unicode MS" w:hAnsi="Candara" w:cstheme="minorHAnsi"/>
          <w:sz w:val="22"/>
          <w:szCs w:val="22"/>
        </w:rPr>
        <w:t xml:space="preserve">The Regular </w:t>
      </w:r>
      <w:r w:rsidR="00B075FF" w:rsidRPr="00B432B4">
        <w:rPr>
          <w:rFonts w:ascii="Candara" w:eastAsia="Arial Unicode MS" w:hAnsi="Candara" w:cstheme="minorHAnsi"/>
          <w:sz w:val="22"/>
          <w:szCs w:val="22"/>
        </w:rPr>
        <w:t>meeting of the GF</w:t>
      </w:r>
      <w:r w:rsidR="00B959AA" w:rsidRPr="00B432B4">
        <w:rPr>
          <w:rFonts w:ascii="Candara" w:eastAsia="Arial Unicode MS" w:hAnsi="Candara" w:cstheme="minorHAnsi"/>
          <w:sz w:val="22"/>
          <w:szCs w:val="22"/>
        </w:rPr>
        <w:t xml:space="preserve"> County Water Resource District w</w:t>
      </w:r>
      <w:r w:rsidR="00040E7B" w:rsidRPr="00B432B4">
        <w:rPr>
          <w:rFonts w:ascii="Candara" w:eastAsia="Arial Unicode MS" w:hAnsi="Candara" w:cstheme="minorHAnsi"/>
          <w:sz w:val="22"/>
          <w:szCs w:val="22"/>
        </w:rPr>
        <w:t xml:space="preserve">as </w:t>
      </w:r>
      <w:r w:rsidR="00B432B4" w:rsidRPr="00B432B4">
        <w:rPr>
          <w:rFonts w:ascii="Candara" w:eastAsia="Arial Unicode MS" w:hAnsi="Candara" w:cstheme="minorHAnsi"/>
          <w:sz w:val="22"/>
          <w:szCs w:val="22"/>
        </w:rPr>
        <w:t xml:space="preserve">held </w:t>
      </w:r>
      <w:r w:rsidR="00B20962">
        <w:rPr>
          <w:rFonts w:ascii="Candara" w:eastAsia="Arial Unicode MS" w:hAnsi="Candara" w:cstheme="minorHAnsi"/>
          <w:sz w:val="22"/>
          <w:szCs w:val="22"/>
        </w:rPr>
        <w:t>at the County Office B</w:t>
      </w:r>
      <w:r w:rsidR="009469F7">
        <w:rPr>
          <w:rFonts w:ascii="Candara" w:eastAsia="Arial Unicode MS" w:hAnsi="Candara" w:cstheme="minorHAnsi"/>
          <w:sz w:val="22"/>
          <w:szCs w:val="22"/>
        </w:rPr>
        <w:t>uilding</w:t>
      </w:r>
      <w:r w:rsidR="00B20962">
        <w:rPr>
          <w:rFonts w:ascii="Candara" w:eastAsia="Arial Unicode MS" w:hAnsi="Candara" w:cstheme="minorHAnsi"/>
          <w:sz w:val="22"/>
          <w:szCs w:val="22"/>
        </w:rPr>
        <w:t xml:space="preserve"> on</w:t>
      </w:r>
      <w:r w:rsidR="00976677">
        <w:rPr>
          <w:rFonts w:ascii="Candara" w:eastAsia="Arial Unicode MS" w:hAnsi="Candara" w:cstheme="minorHAnsi"/>
          <w:sz w:val="22"/>
          <w:szCs w:val="22"/>
        </w:rPr>
        <w:t xml:space="preserve"> July 19</w:t>
      </w:r>
      <w:r w:rsidR="00C748F6" w:rsidRPr="00B432B4">
        <w:rPr>
          <w:rFonts w:ascii="Candara" w:eastAsia="Arial Unicode MS" w:hAnsi="Candara" w:cstheme="minorHAnsi"/>
          <w:sz w:val="22"/>
          <w:szCs w:val="22"/>
        </w:rPr>
        <w:t xml:space="preserve">, </w:t>
      </w:r>
      <w:r w:rsidR="00FE72FF" w:rsidRPr="00B432B4">
        <w:rPr>
          <w:rFonts w:ascii="Candara" w:eastAsia="Arial Unicode MS" w:hAnsi="Candara" w:cstheme="minorHAnsi"/>
          <w:sz w:val="22"/>
          <w:szCs w:val="22"/>
        </w:rPr>
        <w:t>2023</w:t>
      </w:r>
      <w:r w:rsidR="00096DBA">
        <w:rPr>
          <w:rFonts w:ascii="Candara" w:eastAsia="Arial Unicode MS" w:hAnsi="Candara" w:cstheme="minorHAnsi"/>
          <w:sz w:val="22"/>
          <w:szCs w:val="22"/>
        </w:rPr>
        <w:t>.</w:t>
      </w:r>
      <w:r w:rsidR="00081EF5" w:rsidRPr="00B432B4">
        <w:rPr>
          <w:rFonts w:ascii="Candara" w:eastAsia="Arial Unicode MS" w:hAnsi="Candara" w:cstheme="minorHAnsi"/>
          <w:sz w:val="22"/>
          <w:szCs w:val="22"/>
        </w:rPr>
        <w:t xml:space="preserve"> </w:t>
      </w:r>
      <w:r w:rsidR="00057055" w:rsidRPr="00B432B4">
        <w:rPr>
          <w:rFonts w:ascii="Candara" w:eastAsia="Arial Unicode MS" w:hAnsi="Candara" w:cstheme="minorHAnsi"/>
          <w:sz w:val="22"/>
          <w:szCs w:val="22"/>
        </w:rPr>
        <w:t>At</w:t>
      </w:r>
      <w:r w:rsidR="0011106F" w:rsidRPr="00B432B4">
        <w:rPr>
          <w:rFonts w:ascii="Candara" w:eastAsia="Arial Unicode MS" w:hAnsi="Candara" w:cstheme="minorHAnsi"/>
          <w:sz w:val="22"/>
          <w:szCs w:val="22"/>
        </w:rPr>
        <w:t xml:space="preserve">tending </w:t>
      </w:r>
      <w:r w:rsidR="001331E8" w:rsidRPr="00B432B4">
        <w:rPr>
          <w:rFonts w:ascii="Candara" w:eastAsia="Arial Unicode MS" w:hAnsi="Candara" w:cstheme="minorHAnsi"/>
          <w:sz w:val="22"/>
          <w:szCs w:val="22"/>
        </w:rPr>
        <w:t>were</w:t>
      </w:r>
      <w:r w:rsidR="00057055" w:rsidRPr="00B432B4">
        <w:rPr>
          <w:rFonts w:ascii="Candara" w:eastAsia="Arial Unicode MS" w:hAnsi="Candara" w:cstheme="minorHAnsi"/>
          <w:sz w:val="22"/>
          <w:szCs w:val="22"/>
        </w:rPr>
        <w:t xml:space="preserve"> </w:t>
      </w:r>
      <w:r w:rsidR="000118E0" w:rsidRPr="00B432B4">
        <w:rPr>
          <w:rFonts w:ascii="Candara" w:hAnsi="Candara" w:cstheme="minorHAnsi"/>
          <w:sz w:val="22"/>
          <w:szCs w:val="22"/>
        </w:rPr>
        <w:t>Tim Farrell</w:t>
      </w:r>
      <w:r w:rsidR="00643399" w:rsidRPr="00B432B4">
        <w:rPr>
          <w:rFonts w:ascii="Candara" w:hAnsi="Candara" w:cstheme="minorHAnsi"/>
          <w:sz w:val="22"/>
          <w:szCs w:val="22"/>
        </w:rPr>
        <w:t xml:space="preserve">, Tom Perdue, </w:t>
      </w:r>
      <w:r w:rsidR="00825082" w:rsidRPr="00B432B4">
        <w:rPr>
          <w:rFonts w:ascii="Candara" w:hAnsi="Candara" w:cstheme="minorHAnsi"/>
          <w:sz w:val="22"/>
          <w:szCs w:val="22"/>
        </w:rPr>
        <w:t xml:space="preserve">Bob Drees, </w:t>
      </w:r>
      <w:r w:rsidR="00287955" w:rsidRPr="00B432B4">
        <w:rPr>
          <w:rFonts w:ascii="Candara" w:hAnsi="Candara" w:cstheme="minorHAnsi"/>
          <w:sz w:val="22"/>
          <w:szCs w:val="22"/>
        </w:rPr>
        <w:t>Jim Heider</w:t>
      </w:r>
      <w:r w:rsidR="00825082" w:rsidRPr="00B432B4">
        <w:rPr>
          <w:rFonts w:ascii="Candara" w:hAnsi="Candara" w:cstheme="minorHAnsi"/>
          <w:sz w:val="22"/>
          <w:szCs w:val="22"/>
        </w:rPr>
        <w:t>,</w:t>
      </w:r>
      <w:r w:rsidR="00287955" w:rsidRPr="00B432B4">
        <w:rPr>
          <w:rFonts w:ascii="Candara" w:hAnsi="Candara" w:cstheme="minorHAnsi"/>
          <w:sz w:val="22"/>
          <w:szCs w:val="22"/>
        </w:rPr>
        <w:t xml:space="preserve"> Tom Durkin,</w:t>
      </w:r>
      <w:r w:rsidR="00825082" w:rsidRPr="00B432B4">
        <w:rPr>
          <w:rFonts w:ascii="Candara" w:hAnsi="Candara" w:cstheme="minorHAnsi"/>
          <w:sz w:val="22"/>
          <w:szCs w:val="22"/>
        </w:rPr>
        <w:t xml:space="preserve"> </w:t>
      </w:r>
      <w:r w:rsidR="00643399" w:rsidRPr="00B432B4">
        <w:rPr>
          <w:rFonts w:ascii="Candara" w:hAnsi="Candara" w:cstheme="minorHAnsi"/>
          <w:sz w:val="22"/>
          <w:szCs w:val="22"/>
        </w:rPr>
        <w:t>Jerry Pribula</w:t>
      </w:r>
      <w:r w:rsidR="00E812E3" w:rsidRPr="00B432B4">
        <w:rPr>
          <w:rFonts w:ascii="Candara" w:hAnsi="Candara" w:cstheme="minorHAnsi"/>
          <w:sz w:val="22"/>
          <w:szCs w:val="22"/>
        </w:rPr>
        <w:t>,</w:t>
      </w:r>
      <w:r w:rsidR="0066681C">
        <w:rPr>
          <w:rFonts w:ascii="Candara" w:hAnsi="Candara" w:cstheme="minorHAnsi"/>
          <w:sz w:val="22"/>
          <w:szCs w:val="22"/>
        </w:rPr>
        <w:t xml:space="preserve"> Lynn Lindseth, Grady Thorsgaard, John Fitchner,</w:t>
      </w:r>
      <w:r w:rsidR="00E812E3" w:rsidRPr="00B432B4">
        <w:rPr>
          <w:rFonts w:ascii="Candara" w:hAnsi="Candara" w:cstheme="minorHAnsi"/>
          <w:sz w:val="22"/>
          <w:szCs w:val="22"/>
        </w:rPr>
        <w:t xml:space="preserve"> </w:t>
      </w:r>
      <w:r w:rsidR="00976677">
        <w:rPr>
          <w:rFonts w:ascii="Candara" w:hAnsi="Candara" w:cstheme="minorHAnsi"/>
          <w:sz w:val="22"/>
          <w:szCs w:val="22"/>
        </w:rPr>
        <w:t xml:space="preserve">Dan Gaustad </w:t>
      </w:r>
      <w:r w:rsidR="00081EF5" w:rsidRPr="00B432B4">
        <w:rPr>
          <w:rFonts w:ascii="Candara" w:hAnsi="Candara" w:cstheme="minorHAnsi"/>
          <w:sz w:val="22"/>
          <w:szCs w:val="22"/>
        </w:rPr>
        <w:t xml:space="preserve">and </w:t>
      </w:r>
      <w:r w:rsidR="00825082" w:rsidRPr="00B432B4">
        <w:rPr>
          <w:rFonts w:ascii="Candara" w:hAnsi="Candara" w:cstheme="minorHAnsi"/>
          <w:sz w:val="22"/>
          <w:szCs w:val="22"/>
        </w:rPr>
        <w:t>Kari Lavecchia</w:t>
      </w:r>
      <w:r w:rsidR="00B60697" w:rsidRPr="00B432B4">
        <w:rPr>
          <w:rFonts w:ascii="Candara" w:hAnsi="Candara" w:cstheme="minorHAnsi"/>
          <w:sz w:val="22"/>
          <w:szCs w:val="22"/>
        </w:rPr>
        <w:t>.</w:t>
      </w:r>
    </w:p>
    <w:p w14:paraId="6F174512" w14:textId="77777777" w:rsidR="00096DBA" w:rsidRDefault="00096DBA" w:rsidP="00643399">
      <w:pPr>
        <w:rPr>
          <w:rFonts w:ascii="Candara" w:hAnsi="Candara" w:cstheme="minorHAnsi"/>
          <w:sz w:val="22"/>
          <w:szCs w:val="22"/>
        </w:rPr>
      </w:pPr>
    </w:p>
    <w:p w14:paraId="26E1E5D8" w14:textId="1F733BAB" w:rsidR="00096DBA" w:rsidRDefault="00096DBA" w:rsidP="00096DBA">
      <w:pPr>
        <w:rPr>
          <w:rFonts w:ascii="Candara" w:hAnsi="Candara" w:cstheme="minorHAnsi"/>
          <w:sz w:val="22"/>
          <w:szCs w:val="22"/>
        </w:rPr>
      </w:pPr>
      <w:r w:rsidRPr="00B432B4">
        <w:rPr>
          <w:rFonts w:ascii="Candara" w:hAnsi="Candara" w:cstheme="minorHAnsi"/>
          <w:sz w:val="22"/>
          <w:szCs w:val="22"/>
        </w:rPr>
        <w:t xml:space="preserve">A motion was made by </w:t>
      </w:r>
      <w:r w:rsidR="00976677">
        <w:rPr>
          <w:rFonts w:ascii="Candara" w:hAnsi="Candara" w:cstheme="minorHAnsi"/>
          <w:sz w:val="22"/>
          <w:szCs w:val="22"/>
        </w:rPr>
        <w:t xml:space="preserve">Tom Durkin </w:t>
      </w:r>
      <w:r w:rsidRPr="00B432B4">
        <w:rPr>
          <w:rFonts w:ascii="Candara" w:hAnsi="Candara" w:cstheme="minorHAnsi"/>
          <w:sz w:val="22"/>
          <w:szCs w:val="22"/>
        </w:rPr>
        <w:t xml:space="preserve">and seconded by </w:t>
      </w:r>
      <w:r w:rsidR="00976677">
        <w:rPr>
          <w:rFonts w:ascii="Candara" w:hAnsi="Candara" w:cstheme="minorHAnsi"/>
          <w:sz w:val="22"/>
          <w:szCs w:val="22"/>
        </w:rPr>
        <w:t xml:space="preserve">Jim Heider </w:t>
      </w:r>
      <w:r w:rsidRPr="00B432B4">
        <w:rPr>
          <w:rFonts w:ascii="Candara" w:hAnsi="Candara" w:cstheme="minorHAnsi"/>
          <w:sz w:val="22"/>
          <w:szCs w:val="22"/>
        </w:rPr>
        <w:t xml:space="preserve">to approve the minutes of </w:t>
      </w:r>
      <w:r w:rsidR="00976677">
        <w:rPr>
          <w:rFonts w:ascii="Candara" w:hAnsi="Candara" w:cstheme="minorHAnsi"/>
          <w:sz w:val="22"/>
          <w:szCs w:val="22"/>
        </w:rPr>
        <w:t>June 21</w:t>
      </w:r>
      <w:r w:rsidR="008361FE">
        <w:rPr>
          <w:rFonts w:ascii="Candara" w:hAnsi="Candara" w:cstheme="minorHAnsi"/>
          <w:sz w:val="22"/>
          <w:szCs w:val="22"/>
        </w:rPr>
        <w:t>, 2023</w:t>
      </w:r>
      <w:r w:rsidR="00324CE9">
        <w:rPr>
          <w:rFonts w:ascii="Candara" w:hAnsi="Candara" w:cstheme="minorHAnsi"/>
          <w:sz w:val="22"/>
          <w:szCs w:val="22"/>
        </w:rPr>
        <w:t xml:space="preserve">; </w:t>
      </w:r>
      <w:r w:rsidRPr="00B432B4">
        <w:rPr>
          <w:rFonts w:ascii="Candara" w:hAnsi="Candara" w:cstheme="minorHAnsi"/>
          <w:sz w:val="22"/>
          <w:szCs w:val="22"/>
        </w:rPr>
        <w:t>as read.</w:t>
      </w:r>
    </w:p>
    <w:p w14:paraId="18A67BC1" w14:textId="45E65F00" w:rsidR="000D7E76" w:rsidRDefault="000D7E76" w:rsidP="00096DBA">
      <w:pPr>
        <w:rPr>
          <w:rFonts w:ascii="Candara" w:hAnsi="Candara" w:cstheme="minorHAnsi"/>
          <w:sz w:val="22"/>
          <w:szCs w:val="22"/>
        </w:rPr>
      </w:pPr>
    </w:p>
    <w:p w14:paraId="433B67CF" w14:textId="55E4414C" w:rsidR="00096DBA" w:rsidRDefault="000D7E76" w:rsidP="00096DBA">
      <w:pPr>
        <w:rPr>
          <w:rFonts w:ascii="Candara" w:hAnsi="Candara" w:cstheme="minorHAnsi"/>
          <w:sz w:val="22"/>
          <w:szCs w:val="22"/>
        </w:rPr>
      </w:pPr>
      <w:r>
        <w:rPr>
          <w:rFonts w:ascii="Candara" w:hAnsi="Candara" w:cstheme="minorHAnsi"/>
          <w:sz w:val="22"/>
          <w:szCs w:val="22"/>
        </w:rPr>
        <w:t xml:space="preserve">A motion was made by </w:t>
      </w:r>
      <w:r w:rsidR="00976677">
        <w:rPr>
          <w:rFonts w:ascii="Candara" w:hAnsi="Candara" w:cstheme="minorHAnsi"/>
          <w:sz w:val="22"/>
          <w:szCs w:val="22"/>
        </w:rPr>
        <w:t xml:space="preserve">Tim Farrell </w:t>
      </w:r>
      <w:r>
        <w:rPr>
          <w:rFonts w:ascii="Candara" w:hAnsi="Candara" w:cstheme="minorHAnsi"/>
          <w:sz w:val="22"/>
          <w:szCs w:val="22"/>
        </w:rPr>
        <w:t xml:space="preserve">seconded by </w:t>
      </w:r>
      <w:r w:rsidR="00976677">
        <w:rPr>
          <w:rFonts w:ascii="Candara" w:hAnsi="Candara" w:cstheme="minorHAnsi"/>
          <w:sz w:val="22"/>
          <w:szCs w:val="22"/>
        </w:rPr>
        <w:t xml:space="preserve">Tom Durkin </w:t>
      </w:r>
      <w:r>
        <w:rPr>
          <w:rFonts w:ascii="Candara" w:hAnsi="Candara" w:cstheme="minorHAnsi"/>
          <w:sz w:val="22"/>
          <w:szCs w:val="22"/>
        </w:rPr>
        <w:t>to approve the bills as listed.</w:t>
      </w:r>
      <w:r w:rsidR="00976677">
        <w:rPr>
          <w:rFonts w:ascii="Candara" w:hAnsi="Candara" w:cstheme="minorHAnsi"/>
          <w:sz w:val="22"/>
          <w:szCs w:val="22"/>
        </w:rPr>
        <w:t xml:space="preserve"> A rollcall vote was taken with all members voting yes.</w:t>
      </w:r>
    </w:p>
    <w:p w14:paraId="3DFAF685" w14:textId="77777777" w:rsidR="00976677" w:rsidRDefault="00976677" w:rsidP="00096DBA">
      <w:pPr>
        <w:rPr>
          <w:rFonts w:ascii="Candara" w:hAnsi="Candara" w:cstheme="minorHAnsi"/>
          <w:sz w:val="22"/>
          <w:szCs w:val="22"/>
        </w:rPr>
      </w:pPr>
    </w:p>
    <w:tbl>
      <w:tblPr>
        <w:tblW w:w="9180" w:type="dxa"/>
        <w:tblLook w:val="04A0" w:firstRow="1" w:lastRow="0" w:firstColumn="1" w:lastColumn="0" w:noHBand="0" w:noVBand="1"/>
      </w:tblPr>
      <w:tblGrid>
        <w:gridCol w:w="1416"/>
        <w:gridCol w:w="746"/>
        <w:gridCol w:w="3508"/>
        <w:gridCol w:w="2250"/>
        <w:gridCol w:w="1260"/>
      </w:tblGrid>
      <w:tr w:rsidR="00976677" w:rsidRPr="00976677" w14:paraId="232D5AB4" w14:textId="77777777" w:rsidTr="00C322E0">
        <w:trPr>
          <w:trHeight w:val="300"/>
        </w:trPr>
        <w:tc>
          <w:tcPr>
            <w:tcW w:w="1416" w:type="dxa"/>
            <w:tcBorders>
              <w:top w:val="nil"/>
              <w:left w:val="nil"/>
              <w:bottom w:val="nil"/>
              <w:right w:val="nil"/>
            </w:tcBorders>
            <w:shd w:val="clear" w:color="auto" w:fill="auto"/>
            <w:vAlign w:val="bottom"/>
            <w:hideMark/>
          </w:tcPr>
          <w:p w14:paraId="4975869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07/19/2023</w:t>
            </w:r>
          </w:p>
        </w:tc>
        <w:tc>
          <w:tcPr>
            <w:tcW w:w="746" w:type="dxa"/>
            <w:tcBorders>
              <w:top w:val="nil"/>
              <w:left w:val="nil"/>
              <w:bottom w:val="nil"/>
              <w:right w:val="nil"/>
            </w:tcBorders>
            <w:shd w:val="clear" w:color="auto" w:fill="auto"/>
            <w:vAlign w:val="bottom"/>
            <w:hideMark/>
          </w:tcPr>
          <w:p w14:paraId="3CB88A72"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EFT</w:t>
            </w:r>
          </w:p>
        </w:tc>
        <w:tc>
          <w:tcPr>
            <w:tcW w:w="3508" w:type="dxa"/>
            <w:tcBorders>
              <w:top w:val="nil"/>
              <w:left w:val="nil"/>
              <w:bottom w:val="nil"/>
              <w:right w:val="nil"/>
            </w:tcBorders>
            <w:shd w:val="clear" w:color="auto" w:fill="auto"/>
            <w:vAlign w:val="bottom"/>
            <w:hideMark/>
          </w:tcPr>
          <w:p w14:paraId="0EA4177A"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IRS</w:t>
            </w:r>
          </w:p>
        </w:tc>
        <w:tc>
          <w:tcPr>
            <w:tcW w:w="2250" w:type="dxa"/>
            <w:tcBorders>
              <w:top w:val="nil"/>
              <w:left w:val="nil"/>
              <w:bottom w:val="nil"/>
              <w:right w:val="nil"/>
            </w:tcBorders>
            <w:shd w:val="clear" w:color="auto" w:fill="auto"/>
            <w:vAlign w:val="bottom"/>
            <w:hideMark/>
          </w:tcPr>
          <w:p w14:paraId="4825518D"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Fed Tx Pmt</w:t>
            </w:r>
          </w:p>
        </w:tc>
        <w:tc>
          <w:tcPr>
            <w:tcW w:w="1260" w:type="dxa"/>
            <w:tcBorders>
              <w:top w:val="nil"/>
              <w:left w:val="nil"/>
              <w:bottom w:val="nil"/>
              <w:right w:val="nil"/>
            </w:tcBorders>
            <w:shd w:val="clear" w:color="auto" w:fill="auto"/>
            <w:vAlign w:val="bottom"/>
            <w:hideMark/>
          </w:tcPr>
          <w:p w14:paraId="5AB66AD5"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2,447.91</w:t>
            </w:r>
          </w:p>
        </w:tc>
      </w:tr>
      <w:tr w:rsidR="00976677" w:rsidRPr="00976677" w14:paraId="0647A4E1" w14:textId="77777777" w:rsidTr="00C322E0">
        <w:trPr>
          <w:trHeight w:val="300"/>
        </w:trPr>
        <w:tc>
          <w:tcPr>
            <w:tcW w:w="1416" w:type="dxa"/>
            <w:tcBorders>
              <w:top w:val="nil"/>
              <w:left w:val="nil"/>
              <w:bottom w:val="nil"/>
              <w:right w:val="nil"/>
            </w:tcBorders>
            <w:shd w:val="clear" w:color="auto" w:fill="auto"/>
            <w:vAlign w:val="bottom"/>
            <w:hideMark/>
          </w:tcPr>
          <w:p w14:paraId="1DFD5F65"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07/19/2023</w:t>
            </w:r>
          </w:p>
        </w:tc>
        <w:tc>
          <w:tcPr>
            <w:tcW w:w="746" w:type="dxa"/>
            <w:tcBorders>
              <w:top w:val="nil"/>
              <w:left w:val="nil"/>
              <w:bottom w:val="nil"/>
              <w:right w:val="nil"/>
            </w:tcBorders>
            <w:shd w:val="clear" w:color="auto" w:fill="auto"/>
            <w:vAlign w:val="bottom"/>
            <w:hideMark/>
          </w:tcPr>
          <w:p w14:paraId="1C415B6B"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EFT</w:t>
            </w:r>
          </w:p>
        </w:tc>
        <w:tc>
          <w:tcPr>
            <w:tcW w:w="3508" w:type="dxa"/>
            <w:tcBorders>
              <w:top w:val="nil"/>
              <w:left w:val="nil"/>
              <w:bottom w:val="nil"/>
              <w:right w:val="nil"/>
            </w:tcBorders>
            <w:shd w:val="clear" w:color="auto" w:fill="auto"/>
            <w:vAlign w:val="bottom"/>
            <w:hideMark/>
          </w:tcPr>
          <w:p w14:paraId="125CD46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ND Tax Commissioner</w:t>
            </w:r>
          </w:p>
        </w:tc>
        <w:tc>
          <w:tcPr>
            <w:tcW w:w="2250" w:type="dxa"/>
            <w:tcBorders>
              <w:top w:val="nil"/>
              <w:left w:val="nil"/>
              <w:bottom w:val="nil"/>
              <w:right w:val="nil"/>
            </w:tcBorders>
            <w:shd w:val="clear" w:color="auto" w:fill="auto"/>
            <w:vAlign w:val="bottom"/>
            <w:hideMark/>
          </w:tcPr>
          <w:p w14:paraId="0E4DB75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State Tx Pmt</w:t>
            </w:r>
          </w:p>
        </w:tc>
        <w:tc>
          <w:tcPr>
            <w:tcW w:w="1260" w:type="dxa"/>
            <w:tcBorders>
              <w:top w:val="nil"/>
              <w:left w:val="nil"/>
              <w:bottom w:val="nil"/>
              <w:right w:val="nil"/>
            </w:tcBorders>
            <w:shd w:val="clear" w:color="auto" w:fill="auto"/>
            <w:vAlign w:val="bottom"/>
            <w:hideMark/>
          </w:tcPr>
          <w:p w14:paraId="567FF786"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779.00</w:t>
            </w:r>
          </w:p>
        </w:tc>
      </w:tr>
      <w:tr w:rsidR="00976677" w:rsidRPr="00976677" w14:paraId="41A11CA8" w14:textId="77777777" w:rsidTr="00C322E0">
        <w:trPr>
          <w:trHeight w:val="300"/>
        </w:trPr>
        <w:tc>
          <w:tcPr>
            <w:tcW w:w="1416" w:type="dxa"/>
            <w:tcBorders>
              <w:top w:val="nil"/>
              <w:left w:val="nil"/>
              <w:bottom w:val="nil"/>
              <w:right w:val="nil"/>
            </w:tcBorders>
            <w:shd w:val="clear" w:color="auto" w:fill="auto"/>
            <w:vAlign w:val="bottom"/>
            <w:hideMark/>
          </w:tcPr>
          <w:p w14:paraId="058CED0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0A6D3215"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30335</w:t>
            </w:r>
          </w:p>
        </w:tc>
        <w:tc>
          <w:tcPr>
            <w:tcW w:w="3508" w:type="dxa"/>
            <w:tcBorders>
              <w:top w:val="nil"/>
              <w:left w:val="nil"/>
              <w:bottom w:val="nil"/>
              <w:right w:val="nil"/>
            </w:tcBorders>
            <w:shd w:val="clear" w:color="auto" w:fill="auto"/>
            <w:vAlign w:val="bottom"/>
            <w:hideMark/>
          </w:tcPr>
          <w:p w14:paraId="1A2706A1"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Cole Papers</w:t>
            </w:r>
          </w:p>
        </w:tc>
        <w:tc>
          <w:tcPr>
            <w:tcW w:w="2250" w:type="dxa"/>
            <w:tcBorders>
              <w:top w:val="nil"/>
              <w:left w:val="nil"/>
              <w:bottom w:val="nil"/>
              <w:right w:val="nil"/>
            </w:tcBorders>
            <w:shd w:val="clear" w:color="auto" w:fill="auto"/>
            <w:vAlign w:val="bottom"/>
            <w:hideMark/>
          </w:tcPr>
          <w:p w14:paraId="66360E66"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42D35CEF"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311.84</w:t>
            </w:r>
          </w:p>
        </w:tc>
      </w:tr>
      <w:tr w:rsidR="00976677" w:rsidRPr="00976677" w14:paraId="2BC66B35" w14:textId="77777777" w:rsidTr="00C322E0">
        <w:trPr>
          <w:trHeight w:val="300"/>
        </w:trPr>
        <w:tc>
          <w:tcPr>
            <w:tcW w:w="1416" w:type="dxa"/>
            <w:tcBorders>
              <w:top w:val="nil"/>
              <w:left w:val="nil"/>
              <w:bottom w:val="nil"/>
              <w:right w:val="nil"/>
            </w:tcBorders>
            <w:shd w:val="clear" w:color="auto" w:fill="auto"/>
            <w:vAlign w:val="bottom"/>
            <w:hideMark/>
          </w:tcPr>
          <w:p w14:paraId="5CD53F15"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7BE1F19A"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30334</w:t>
            </w:r>
          </w:p>
        </w:tc>
        <w:tc>
          <w:tcPr>
            <w:tcW w:w="3508" w:type="dxa"/>
            <w:tcBorders>
              <w:top w:val="nil"/>
              <w:left w:val="nil"/>
              <w:bottom w:val="nil"/>
              <w:right w:val="nil"/>
            </w:tcBorders>
            <w:shd w:val="clear" w:color="auto" w:fill="auto"/>
            <w:vAlign w:val="bottom"/>
            <w:hideMark/>
          </w:tcPr>
          <w:p w14:paraId="25FE8D25"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Premium Water</w:t>
            </w:r>
          </w:p>
        </w:tc>
        <w:tc>
          <w:tcPr>
            <w:tcW w:w="2250" w:type="dxa"/>
            <w:tcBorders>
              <w:top w:val="nil"/>
              <w:left w:val="nil"/>
              <w:bottom w:val="nil"/>
              <w:right w:val="nil"/>
            </w:tcBorders>
            <w:shd w:val="clear" w:color="auto" w:fill="auto"/>
            <w:vAlign w:val="bottom"/>
            <w:hideMark/>
          </w:tcPr>
          <w:p w14:paraId="31798302"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1DA3B0E8"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13.00</w:t>
            </w:r>
          </w:p>
        </w:tc>
      </w:tr>
      <w:tr w:rsidR="00976677" w:rsidRPr="00976677" w14:paraId="4751A193" w14:textId="77777777" w:rsidTr="00C322E0">
        <w:trPr>
          <w:trHeight w:val="300"/>
        </w:trPr>
        <w:tc>
          <w:tcPr>
            <w:tcW w:w="1416" w:type="dxa"/>
            <w:tcBorders>
              <w:top w:val="nil"/>
              <w:left w:val="nil"/>
              <w:bottom w:val="nil"/>
              <w:right w:val="nil"/>
            </w:tcBorders>
            <w:shd w:val="clear" w:color="auto" w:fill="auto"/>
            <w:vAlign w:val="bottom"/>
            <w:hideMark/>
          </w:tcPr>
          <w:p w14:paraId="760B893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339B452A"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30333</w:t>
            </w:r>
          </w:p>
        </w:tc>
        <w:tc>
          <w:tcPr>
            <w:tcW w:w="3508" w:type="dxa"/>
            <w:tcBorders>
              <w:top w:val="nil"/>
              <w:left w:val="nil"/>
              <w:bottom w:val="nil"/>
              <w:right w:val="nil"/>
            </w:tcBorders>
            <w:shd w:val="clear" w:color="auto" w:fill="auto"/>
            <w:vAlign w:val="bottom"/>
            <w:hideMark/>
          </w:tcPr>
          <w:p w14:paraId="66B93BCA"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Glacier Dust Control</w:t>
            </w:r>
          </w:p>
        </w:tc>
        <w:tc>
          <w:tcPr>
            <w:tcW w:w="2250" w:type="dxa"/>
            <w:tcBorders>
              <w:top w:val="nil"/>
              <w:left w:val="nil"/>
              <w:bottom w:val="nil"/>
              <w:right w:val="nil"/>
            </w:tcBorders>
            <w:shd w:val="clear" w:color="auto" w:fill="auto"/>
            <w:vAlign w:val="bottom"/>
            <w:hideMark/>
          </w:tcPr>
          <w:p w14:paraId="6B37A4EC" w14:textId="0562FD0C" w:rsidR="00976677" w:rsidRPr="00976677" w:rsidRDefault="00324CE9" w:rsidP="00976677">
            <w:pPr>
              <w:widowControl/>
              <w:overflowPunct/>
              <w:autoSpaceDE/>
              <w:autoSpaceDN/>
              <w:adjustRightInd/>
              <w:rPr>
                <w:rFonts w:ascii="Seaford" w:hAnsi="Seaford" w:cs="Arial"/>
                <w:kern w:val="0"/>
              </w:rPr>
            </w:pPr>
            <w:r w:rsidRPr="00976677">
              <w:rPr>
                <w:rFonts w:ascii="Seaford" w:hAnsi="Seaford" w:cs="Arial"/>
                <w:kern w:val="0"/>
              </w:rPr>
              <w:t>Larimore</w:t>
            </w:r>
            <w:r w:rsidR="00976677" w:rsidRPr="00976677">
              <w:rPr>
                <w:rFonts w:ascii="Seaford" w:hAnsi="Seaford" w:cs="Arial"/>
                <w:kern w:val="0"/>
              </w:rPr>
              <w:t xml:space="preserve"> driveway</w:t>
            </w:r>
          </w:p>
        </w:tc>
        <w:tc>
          <w:tcPr>
            <w:tcW w:w="1260" w:type="dxa"/>
            <w:tcBorders>
              <w:top w:val="nil"/>
              <w:left w:val="nil"/>
              <w:bottom w:val="nil"/>
              <w:right w:val="nil"/>
            </w:tcBorders>
            <w:shd w:val="clear" w:color="auto" w:fill="auto"/>
            <w:vAlign w:val="bottom"/>
            <w:hideMark/>
          </w:tcPr>
          <w:p w14:paraId="50BEEB31"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2,047.65</w:t>
            </w:r>
          </w:p>
        </w:tc>
      </w:tr>
      <w:tr w:rsidR="00976677" w:rsidRPr="00976677" w14:paraId="65D50B2B" w14:textId="77777777" w:rsidTr="00C322E0">
        <w:trPr>
          <w:trHeight w:val="300"/>
        </w:trPr>
        <w:tc>
          <w:tcPr>
            <w:tcW w:w="1416" w:type="dxa"/>
            <w:tcBorders>
              <w:top w:val="nil"/>
              <w:left w:val="nil"/>
              <w:bottom w:val="nil"/>
              <w:right w:val="nil"/>
            </w:tcBorders>
            <w:shd w:val="clear" w:color="auto" w:fill="auto"/>
            <w:vAlign w:val="bottom"/>
            <w:hideMark/>
          </w:tcPr>
          <w:p w14:paraId="21B05806"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052DACEF"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30332</w:t>
            </w:r>
          </w:p>
        </w:tc>
        <w:tc>
          <w:tcPr>
            <w:tcW w:w="3508" w:type="dxa"/>
            <w:tcBorders>
              <w:top w:val="nil"/>
              <w:left w:val="nil"/>
              <w:bottom w:val="nil"/>
              <w:right w:val="nil"/>
            </w:tcBorders>
            <w:shd w:val="clear" w:color="auto" w:fill="auto"/>
            <w:vAlign w:val="bottom"/>
            <w:hideMark/>
          </w:tcPr>
          <w:p w14:paraId="444FFCA1"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Keith Drees</w:t>
            </w:r>
          </w:p>
        </w:tc>
        <w:tc>
          <w:tcPr>
            <w:tcW w:w="2250" w:type="dxa"/>
            <w:tcBorders>
              <w:top w:val="nil"/>
              <w:left w:val="nil"/>
              <w:bottom w:val="nil"/>
              <w:right w:val="nil"/>
            </w:tcBorders>
            <w:shd w:val="clear" w:color="auto" w:fill="auto"/>
            <w:vAlign w:val="bottom"/>
            <w:hideMark/>
          </w:tcPr>
          <w:p w14:paraId="4B9B81F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excavator</w:t>
            </w:r>
          </w:p>
        </w:tc>
        <w:tc>
          <w:tcPr>
            <w:tcW w:w="1260" w:type="dxa"/>
            <w:tcBorders>
              <w:top w:val="nil"/>
              <w:left w:val="nil"/>
              <w:bottom w:val="nil"/>
              <w:right w:val="nil"/>
            </w:tcBorders>
            <w:shd w:val="clear" w:color="auto" w:fill="auto"/>
            <w:vAlign w:val="bottom"/>
            <w:hideMark/>
          </w:tcPr>
          <w:p w14:paraId="27D65DB1"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5,321.82</w:t>
            </w:r>
          </w:p>
        </w:tc>
      </w:tr>
      <w:tr w:rsidR="00976677" w:rsidRPr="00976677" w14:paraId="0E590EFB" w14:textId="77777777" w:rsidTr="00C322E0">
        <w:trPr>
          <w:trHeight w:val="300"/>
        </w:trPr>
        <w:tc>
          <w:tcPr>
            <w:tcW w:w="1416" w:type="dxa"/>
            <w:tcBorders>
              <w:top w:val="nil"/>
              <w:left w:val="nil"/>
              <w:bottom w:val="nil"/>
              <w:right w:val="nil"/>
            </w:tcBorders>
            <w:shd w:val="clear" w:color="auto" w:fill="auto"/>
            <w:vAlign w:val="bottom"/>
            <w:hideMark/>
          </w:tcPr>
          <w:p w14:paraId="391A4F7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4167F9E0"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30331</w:t>
            </w:r>
          </w:p>
        </w:tc>
        <w:tc>
          <w:tcPr>
            <w:tcW w:w="3508" w:type="dxa"/>
            <w:tcBorders>
              <w:top w:val="nil"/>
              <w:left w:val="nil"/>
              <w:bottom w:val="nil"/>
              <w:right w:val="nil"/>
            </w:tcBorders>
            <w:shd w:val="clear" w:color="auto" w:fill="auto"/>
            <w:vAlign w:val="bottom"/>
            <w:hideMark/>
          </w:tcPr>
          <w:p w14:paraId="4CE9D83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CAL'S ICE SERVICE</w:t>
            </w:r>
          </w:p>
        </w:tc>
        <w:tc>
          <w:tcPr>
            <w:tcW w:w="2250" w:type="dxa"/>
            <w:tcBorders>
              <w:top w:val="nil"/>
              <w:left w:val="nil"/>
              <w:bottom w:val="nil"/>
              <w:right w:val="nil"/>
            </w:tcBorders>
            <w:shd w:val="clear" w:color="auto" w:fill="auto"/>
            <w:vAlign w:val="bottom"/>
            <w:hideMark/>
          </w:tcPr>
          <w:p w14:paraId="4217DD7E"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2898F0C2"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193.05</w:t>
            </w:r>
          </w:p>
        </w:tc>
      </w:tr>
      <w:tr w:rsidR="00976677" w:rsidRPr="00976677" w14:paraId="03BCD473" w14:textId="77777777" w:rsidTr="00C322E0">
        <w:trPr>
          <w:trHeight w:val="300"/>
        </w:trPr>
        <w:tc>
          <w:tcPr>
            <w:tcW w:w="1416" w:type="dxa"/>
            <w:tcBorders>
              <w:top w:val="nil"/>
              <w:left w:val="nil"/>
              <w:bottom w:val="nil"/>
              <w:right w:val="nil"/>
            </w:tcBorders>
            <w:shd w:val="clear" w:color="auto" w:fill="auto"/>
            <w:vAlign w:val="bottom"/>
            <w:hideMark/>
          </w:tcPr>
          <w:p w14:paraId="09A0781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6C2CF4EE"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30330</w:t>
            </w:r>
          </w:p>
        </w:tc>
        <w:tc>
          <w:tcPr>
            <w:tcW w:w="3508" w:type="dxa"/>
            <w:tcBorders>
              <w:top w:val="nil"/>
              <w:left w:val="nil"/>
              <w:bottom w:val="nil"/>
              <w:right w:val="nil"/>
            </w:tcBorders>
            <w:shd w:val="clear" w:color="auto" w:fill="auto"/>
            <w:vAlign w:val="bottom"/>
            <w:hideMark/>
          </w:tcPr>
          <w:p w14:paraId="13BD4D18"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Nodak Electric</w:t>
            </w:r>
          </w:p>
        </w:tc>
        <w:tc>
          <w:tcPr>
            <w:tcW w:w="2250" w:type="dxa"/>
            <w:tcBorders>
              <w:top w:val="nil"/>
              <w:left w:val="nil"/>
              <w:bottom w:val="nil"/>
              <w:right w:val="nil"/>
            </w:tcBorders>
            <w:shd w:val="clear" w:color="auto" w:fill="auto"/>
            <w:vAlign w:val="bottom"/>
            <w:hideMark/>
          </w:tcPr>
          <w:p w14:paraId="6043444B"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0F9FE264"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9,296.99</w:t>
            </w:r>
          </w:p>
        </w:tc>
      </w:tr>
      <w:tr w:rsidR="00976677" w:rsidRPr="00976677" w14:paraId="360F0380" w14:textId="77777777" w:rsidTr="00C322E0">
        <w:trPr>
          <w:trHeight w:val="300"/>
        </w:trPr>
        <w:tc>
          <w:tcPr>
            <w:tcW w:w="1416" w:type="dxa"/>
            <w:tcBorders>
              <w:top w:val="nil"/>
              <w:left w:val="nil"/>
              <w:bottom w:val="nil"/>
              <w:right w:val="nil"/>
            </w:tcBorders>
            <w:shd w:val="clear" w:color="auto" w:fill="auto"/>
            <w:vAlign w:val="bottom"/>
            <w:hideMark/>
          </w:tcPr>
          <w:p w14:paraId="7E2EE324"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67CCD217"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30329</w:t>
            </w:r>
          </w:p>
        </w:tc>
        <w:tc>
          <w:tcPr>
            <w:tcW w:w="3508" w:type="dxa"/>
            <w:tcBorders>
              <w:top w:val="nil"/>
              <w:left w:val="nil"/>
              <w:bottom w:val="nil"/>
              <w:right w:val="nil"/>
            </w:tcBorders>
            <w:shd w:val="clear" w:color="auto" w:fill="auto"/>
            <w:vAlign w:val="bottom"/>
            <w:hideMark/>
          </w:tcPr>
          <w:p w14:paraId="37A4997E"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ADS</w:t>
            </w:r>
          </w:p>
        </w:tc>
        <w:tc>
          <w:tcPr>
            <w:tcW w:w="2250" w:type="dxa"/>
            <w:tcBorders>
              <w:top w:val="nil"/>
              <w:left w:val="nil"/>
              <w:bottom w:val="nil"/>
              <w:right w:val="nil"/>
            </w:tcBorders>
            <w:shd w:val="clear" w:color="auto" w:fill="auto"/>
            <w:vAlign w:val="bottom"/>
            <w:hideMark/>
          </w:tcPr>
          <w:p w14:paraId="40A14825"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culverts</w:t>
            </w:r>
          </w:p>
        </w:tc>
        <w:tc>
          <w:tcPr>
            <w:tcW w:w="1260" w:type="dxa"/>
            <w:tcBorders>
              <w:top w:val="nil"/>
              <w:left w:val="nil"/>
              <w:bottom w:val="nil"/>
              <w:right w:val="nil"/>
            </w:tcBorders>
            <w:shd w:val="clear" w:color="auto" w:fill="auto"/>
            <w:vAlign w:val="bottom"/>
            <w:hideMark/>
          </w:tcPr>
          <w:p w14:paraId="06599753"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77,238.41</w:t>
            </w:r>
          </w:p>
        </w:tc>
      </w:tr>
      <w:tr w:rsidR="00976677" w:rsidRPr="00976677" w14:paraId="6CF58A4D" w14:textId="77777777" w:rsidTr="00C322E0">
        <w:trPr>
          <w:trHeight w:val="300"/>
        </w:trPr>
        <w:tc>
          <w:tcPr>
            <w:tcW w:w="1416" w:type="dxa"/>
            <w:tcBorders>
              <w:top w:val="nil"/>
              <w:left w:val="nil"/>
              <w:bottom w:val="nil"/>
              <w:right w:val="nil"/>
            </w:tcBorders>
            <w:shd w:val="clear" w:color="auto" w:fill="auto"/>
            <w:vAlign w:val="bottom"/>
            <w:hideMark/>
          </w:tcPr>
          <w:p w14:paraId="79060FC0"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7897392D"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30328</w:t>
            </w:r>
          </w:p>
        </w:tc>
        <w:tc>
          <w:tcPr>
            <w:tcW w:w="3508" w:type="dxa"/>
            <w:tcBorders>
              <w:top w:val="nil"/>
              <w:left w:val="nil"/>
              <w:bottom w:val="nil"/>
              <w:right w:val="nil"/>
            </w:tcBorders>
            <w:shd w:val="clear" w:color="auto" w:fill="auto"/>
            <w:vAlign w:val="bottom"/>
            <w:hideMark/>
          </w:tcPr>
          <w:p w14:paraId="5C795A1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State Farm Insurance</w:t>
            </w:r>
          </w:p>
        </w:tc>
        <w:tc>
          <w:tcPr>
            <w:tcW w:w="2250" w:type="dxa"/>
            <w:tcBorders>
              <w:top w:val="nil"/>
              <w:left w:val="nil"/>
              <w:bottom w:val="nil"/>
              <w:right w:val="nil"/>
            </w:tcBorders>
            <w:shd w:val="clear" w:color="auto" w:fill="auto"/>
            <w:vAlign w:val="bottom"/>
            <w:hideMark/>
          </w:tcPr>
          <w:p w14:paraId="368165F1"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1D309CA1"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357.11</w:t>
            </w:r>
          </w:p>
        </w:tc>
      </w:tr>
      <w:tr w:rsidR="00976677" w:rsidRPr="00976677" w14:paraId="7047CCAE" w14:textId="77777777" w:rsidTr="00C322E0">
        <w:trPr>
          <w:trHeight w:val="300"/>
        </w:trPr>
        <w:tc>
          <w:tcPr>
            <w:tcW w:w="1416" w:type="dxa"/>
            <w:tcBorders>
              <w:top w:val="nil"/>
              <w:left w:val="nil"/>
              <w:bottom w:val="nil"/>
              <w:right w:val="nil"/>
            </w:tcBorders>
            <w:shd w:val="clear" w:color="auto" w:fill="auto"/>
            <w:vAlign w:val="bottom"/>
            <w:hideMark/>
          </w:tcPr>
          <w:p w14:paraId="22C7A68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604D75B8"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30327</w:t>
            </w:r>
          </w:p>
        </w:tc>
        <w:tc>
          <w:tcPr>
            <w:tcW w:w="3508" w:type="dxa"/>
            <w:tcBorders>
              <w:top w:val="nil"/>
              <w:left w:val="nil"/>
              <w:bottom w:val="nil"/>
              <w:right w:val="nil"/>
            </w:tcBorders>
            <w:shd w:val="clear" w:color="auto" w:fill="auto"/>
            <w:vAlign w:val="bottom"/>
            <w:hideMark/>
          </w:tcPr>
          <w:p w14:paraId="16A9EF69"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Grand Forks Utility Billing</w:t>
            </w:r>
          </w:p>
        </w:tc>
        <w:tc>
          <w:tcPr>
            <w:tcW w:w="2250" w:type="dxa"/>
            <w:tcBorders>
              <w:top w:val="nil"/>
              <w:left w:val="nil"/>
              <w:bottom w:val="nil"/>
              <w:right w:val="nil"/>
            </w:tcBorders>
            <w:shd w:val="clear" w:color="auto" w:fill="auto"/>
            <w:vAlign w:val="bottom"/>
            <w:hideMark/>
          </w:tcPr>
          <w:p w14:paraId="10524146"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3E9EE1C3"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58.75</w:t>
            </w:r>
          </w:p>
        </w:tc>
      </w:tr>
      <w:tr w:rsidR="00976677" w:rsidRPr="00976677" w14:paraId="5B0038AB" w14:textId="77777777" w:rsidTr="00C322E0">
        <w:trPr>
          <w:trHeight w:val="300"/>
        </w:trPr>
        <w:tc>
          <w:tcPr>
            <w:tcW w:w="1416" w:type="dxa"/>
            <w:tcBorders>
              <w:top w:val="nil"/>
              <w:left w:val="nil"/>
              <w:bottom w:val="nil"/>
              <w:right w:val="nil"/>
            </w:tcBorders>
            <w:shd w:val="clear" w:color="auto" w:fill="auto"/>
            <w:vAlign w:val="bottom"/>
            <w:hideMark/>
          </w:tcPr>
          <w:p w14:paraId="0D841D0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205B8704"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30326</w:t>
            </w:r>
          </w:p>
        </w:tc>
        <w:tc>
          <w:tcPr>
            <w:tcW w:w="3508" w:type="dxa"/>
            <w:tcBorders>
              <w:top w:val="nil"/>
              <w:left w:val="nil"/>
              <w:bottom w:val="nil"/>
              <w:right w:val="nil"/>
            </w:tcBorders>
            <w:shd w:val="clear" w:color="auto" w:fill="auto"/>
            <w:vAlign w:val="bottom"/>
            <w:hideMark/>
          </w:tcPr>
          <w:p w14:paraId="725771A0"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Countrywide Sanitation</w:t>
            </w:r>
          </w:p>
        </w:tc>
        <w:tc>
          <w:tcPr>
            <w:tcW w:w="2250" w:type="dxa"/>
            <w:tcBorders>
              <w:top w:val="nil"/>
              <w:left w:val="nil"/>
              <w:bottom w:val="nil"/>
              <w:right w:val="nil"/>
            </w:tcBorders>
            <w:shd w:val="clear" w:color="auto" w:fill="auto"/>
            <w:vAlign w:val="bottom"/>
            <w:hideMark/>
          </w:tcPr>
          <w:p w14:paraId="1FAF0AC7"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193D2D51"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1,540.14</w:t>
            </w:r>
          </w:p>
        </w:tc>
      </w:tr>
      <w:tr w:rsidR="00976677" w:rsidRPr="00976677" w14:paraId="6D4237E0" w14:textId="77777777" w:rsidTr="00C322E0">
        <w:trPr>
          <w:trHeight w:val="300"/>
        </w:trPr>
        <w:tc>
          <w:tcPr>
            <w:tcW w:w="1416" w:type="dxa"/>
            <w:tcBorders>
              <w:top w:val="nil"/>
              <w:left w:val="nil"/>
              <w:bottom w:val="nil"/>
              <w:right w:val="nil"/>
            </w:tcBorders>
            <w:shd w:val="clear" w:color="auto" w:fill="auto"/>
            <w:vAlign w:val="bottom"/>
            <w:hideMark/>
          </w:tcPr>
          <w:p w14:paraId="328AD376"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12DF1975"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30325</w:t>
            </w:r>
          </w:p>
        </w:tc>
        <w:tc>
          <w:tcPr>
            <w:tcW w:w="3508" w:type="dxa"/>
            <w:tcBorders>
              <w:top w:val="nil"/>
              <w:left w:val="nil"/>
              <w:bottom w:val="nil"/>
              <w:right w:val="nil"/>
            </w:tcBorders>
            <w:shd w:val="clear" w:color="auto" w:fill="auto"/>
            <w:vAlign w:val="bottom"/>
            <w:hideMark/>
          </w:tcPr>
          <w:p w14:paraId="13E04AD7"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CHS AG Services</w:t>
            </w:r>
          </w:p>
        </w:tc>
        <w:tc>
          <w:tcPr>
            <w:tcW w:w="2250" w:type="dxa"/>
            <w:tcBorders>
              <w:top w:val="nil"/>
              <w:left w:val="nil"/>
              <w:bottom w:val="nil"/>
              <w:right w:val="nil"/>
            </w:tcBorders>
            <w:shd w:val="clear" w:color="auto" w:fill="auto"/>
            <w:vAlign w:val="bottom"/>
            <w:hideMark/>
          </w:tcPr>
          <w:p w14:paraId="1EA3C976"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0C7485EB"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1,549.64</w:t>
            </w:r>
          </w:p>
        </w:tc>
      </w:tr>
      <w:tr w:rsidR="00976677" w:rsidRPr="00976677" w14:paraId="36FD3F9F" w14:textId="77777777" w:rsidTr="00C322E0">
        <w:trPr>
          <w:trHeight w:val="300"/>
        </w:trPr>
        <w:tc>
          <w:tcPr>
            <w:tcW w:w="1416" w:type="dxa"/>
            <w:tcBorders>
              <w:top w:val="nil"/>
              <w:left w:val="nil"/>
              <w:bottom w:val="nil"/>
              <w:right w:val="nil"/>
            </w:tcBorders>
            <w:shd w:val="clear" w:color="auto" w:fill="auto"/>
            <w:vAlign w:val="bottom"/>
            <w:hideMark/>
          </w:tcPr>
          <w:p w14:paraId="20666C5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1457D320"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30324</w:t>
            </w:r>
          </w:p>
        </w:tc>
        <w:tc>
          <w:tcPr>
            <w:tcW w:w="3508" w:type="dxa"/>
            <w:tcBorders>
              <w:top w:val="nil"/>
              <w:left w:val="nil"/>
              <w:bottom w:val="nil"/>
              <w:right w:val="nil"/>
            </w:tcBorders>
            <w:shd w:val="clear" w:color="auto" w:fill="auto"/>
            <w:vAlign w:val="bottom"/>
            <w:hideMark/>
          </w:tcPr>
          <w:p w14:paraId="084B33F7"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Fordville Coop Oil</w:t>
            </w:r>
          </w:p>
        </w:tc>
        <w:tc>
          <w:tcPr>
            <w:tcW w:w="2250" w:type="dxa"/>
            <w:tcBorders>
              <w:top w:val="nil"/>
              <w:left w:val="nil"/>
              <w:bottom w:val="nil"/>
              <w:right w:val="nil"/>
            </w:tcBorders>
            <w:shd w:val="clear" w:color="auto" w:fill="auto"/>
            <w:vAlign w:val="bottom"/>
            <w:hideMark/>
          </w:tcPr>
          <w:p w14:paraId="48154D31"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743F2F0F"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99.81</w:t>
            </w:r>
          </w:p>
        </w:tc>
      </w:tr>
      <w:tr w:rsidR="00976677" w:rsidRPr="00976677" w14:paraId="0C5025F9" w14:textId="77777777" w:rsidTr="00C322E0">
        <w:trPr>
          <w:trHeight w:val="300"/>
        </w:trPr>
        <w:tc>
          <w:tcPr>
            <w:tcW w:w="1416" w:type="dxa"/>
            <w:tcBorders>
              <w:top w:val="nil"/>
              <w:left w:val="nil"/>
              <w:bottom w:val="nil"/>
              <w:right w:val="nil"/>
            </w:tcBorders>
            <w:shd w:val="clear" w:color="auto" w:fill="auto"/>
            <w:vAlign w:val="bottom"/>
            <w:hideMark/>
          </w:tcPr>
          <w:p w14:paraId="2C7E8344"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07/18/2023</w:t>
            </w:r>
          </w:p>
        </w:tc>
        <w:tc>
          <w:tcPr>
            <w:tcW w:w="746" w:type="dxa"/>
            <w:tcBorders>
              <w:top w:val="nil"/>
              <w:left w:val="nil"/>
              <w:bottom w:val="nil"/>
              <w:right w:val="nil"/>
            </w:tcBorders>
            <w:shd w:val="clear" w:color="auto" w:fill="auto"/>
            <w:vAlign w:val="bottom"/>
            <w:hideMark/>
          </w:tcPr>
          <w:p w14:paraId="0C7E8CA4"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EFT</w:t>
            </w:r>
          </w:p>
        </w:tc>
        <w:tc>
          <w:tcPr>
            <w:tcW w:w="3508" w:type="dxa"/>
            <w:tcBorders>
              <w:top w:val="nil"/>
              <w:left w:val="nil"/>
              <w:bottom w:val="nil"/>
              <w:right w:val="nil"/>
            </w:tcBorders>
            <w:shd w:val="clear" w:color="auto" w:fill="auto"/>
            <w:vAlign w:val="bottom"/>
            <w:hideMark/>
          </w:tcPr>
          <w:p w14:paraId="6DE6273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Capitol One</w:t>
            </w:r>
          </w:p>
        </w:tc>
        <w:tc>
          <w:tcPr>
            <w:tcW w:w="2250" w:type="dxa"/>
            <w:tcBorders>
              <w:top w:val="nil"/>
              <w:left w:val="nil"/>
              <w:bottom w:val="nil"/>
              <w:right w:val="nil"/>
            </w:tcBorders>
            <w:shd w:val="clear" w:color="auto" w:fill="auto"/>
            <w:vAlign w:val="bottom"/>
            <w:hideMark/>
          </w:tcPr>
          <w:p w14:paraId="317C9A84"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144092E5"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6,405.72</w:t>
            </w:r>
          </w:p>
        </w:tc>
      </w:tr>
      <w:tr w:rsidR="00976677" w:rsidRPr="00976677" w14:paraId="549BD6FB" w14:textId="77777777" w:rsidTr="00C322E0">
        <w:trPr>
          <w:trHeight w:val="300"/>
        </w:trPr>
        <w:tc>
          <w:tcPr>
            <w:tcW w:w="1416" w:type="dxa"/>
            <w:tcBorders>
              <w:top w:val="nil"/>
              <w:left w:val="nil"/>
              <w:bottom w:val="nil"/>
              <w:right w:val="nil"/>
            </w:tcBorders>
            <w:shd w:val="clear" w:color="auto" w:fill="auto"/>
            <w:vAlign w:val="bottom"/>
            <w:hideMark/>
          </w:tcPr>
          <w:p w14:paraId="79CD7F9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5BA3F421"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30323</w:t>
            </w:r>
          </w:p>
        </w:tc>
        <w:tc>
          <w:tcPr>
            <w:tcW w:w="3508" w:type="dxa"/>
            <w:tcBorders>
              <w:top w:val="nil"/>
              <w:left w:val="nil"/>
              <w:bottom w:val="nil"/>
              <w:right w:val="nil"/>
            </w:tcBorders>
            <w:shd w:val="clear" w:color="auto" w:fill="auto"/>
            <w:vAlign w:val="bottom"/>
            <w:hideMark/>
          </w:tcPr>
          <w:p w14:paraId="3BD98C00"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RONNY SRNSKY</w:t>
            </w:r>
          </w:p>
        </w:tc>
        <w:tc>
          <w:tcPr>
            <w:tcW w:w="2250" w:type="dxa"/>
            <w:tcBorders>
              <w:top w:val="nil"/>
              <w:left w:val="nil"/>
              <w:bottom w:val="nil"/>
              <w:right w:val="nil"/>
            </w:tcBorders>
            <w:shd w:val="clear" w:color="auto" w:fill="auto"/>
            <w:vAlign w:val="bottom"/>
            <w:hideMark/>
          </w:tcPr>
          <w:p w14:paraId="23DCB910"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65B46537"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1,090.83</w:t>
            </w:r>
          </w:p>
        </w:tc>
      </w:tr>
      <w:tr w:rsidR="00976677" w:rsidRPr="00976677" w14:paraId="143E822C" w14:textId="77777777" w:rsidTr="00C322E0">
        <w:trPr>
          <w:trHeight w:val="300"/>
        </w:trPr>
        <w:tc>
          <w:tcPr>
            <w:tcW w:w="1416" w:type="dxa"/>
            <w:tcBorders>
              <w:top w:val="nil"/>
              <w:left w:val="nil"/>
              <w:bottom w:val="nil"/>
              <w:right w:val="nil"/>
            </w:tcBorders>
            <w:shd w:val="clear" w:color="auto" w:fill="auto"/>
            <w:vAlign w:val="bottom"/>
            <w:hideMark/>
          </w:tcPr>
          <w:p w14:paraId="79933984"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20127118"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30322</w:t>
            </w:r>
          </w:p>
        </w:tc>
        <w:tc>
          <w:tcPr>
            <w:tcW w:w="3508" w:type="dxa"/>
            <w:tcBorders>
              <w:top w:val="nil"/>
              <w:left w:val="nil"/>
              <w:bottom w:val="nil"/>
              <w:right w:val="nil"/>
            </w:tcBorders>
            <w:shd w:val="clear" w:color="auto" w:fill="auto"/>
            <w:vAlign w:val="bottom"/>
            <w:hideMark/>
          </w:tcPr>
          <w:p w14:paraId="7E896E2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CHRYSTALL RUTTER</w:t>
            </w:r>
          </w:p>
        </w:tc>
        <w:tc>
          <w:tcPr>
            <w:tcW w:w="2250" w:type="dxa"/>
            <w:tcBorders>
              <w:top w:val="nil"/>
              <w:left w:val="nil"/>
              <w:bottom w:val="nil"/>
              <w:right w:val="nil"/>
            </w:tcBorders>
            <w:shd w:val="clear" w:color="auto" w:fill="auto"/>
            <w:vAlign w:val="bottom"/>
            <w:hideMark/>
          </w:tcPr>
          <w:p w14:paraId="7954809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39D750AB"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1,225.82</w:t>
            </w:r>
          </w:p>
        </w:tc>
      </w:tr>
      <w:tr w:rsidR="00976677" w:rsidRPr="00976677" w14:paraId="2A693114" w14:textId="77777777" w:rsidTr="00C322E0">
        <w:trPr>
          <w:trHeight w:val="300"/>
        </w:trPr>
        <w:tc>
          <w:tcPr>
            <w:tcW w:w="1416" w:type="dxa"/>
            <w:tcBorders>
              <w:top w:val="nil"/>
              <w:left w:val="nil"/>
              <w:bottom w:val="nil"/>
              <w:right w:val="nil"/>
            </w:tcBorders>
            <w:shd w:val="clear" w:color="auto" w:fill="auto"/>
            <w:vAlign w:val="bottom"/>
            <w:hideMark/>
          </w:tcPr>
          <w:p w14:paraId="3D14817D"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56B87864"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30321</w:t>
            </w:r>
          </w:p>
        </w:tc>
        <w:tc>
          <w:tcPr>
            <w:tcW w:w="3508" w:type="dxa"/>
            <w:tcBorders>
              <w:top w:val="nil"/>
              <w:left w:val="nil"/>
              <w:bottom w:val="nil"/>
              <w:right w:val="nil"/>
            </w:tcBorders>
            <w:shd w:val="clear" w:color="auto" w:fill="auto"/>
            <w:vAlign w:val="bottom"/>
            <w:hideMark/>
          </w:tcPr>
          <w:p w14:paraId="7DEF8850"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BRYCEN NESDAHL</w:t>
            </w:r>
          </w:p>
        </w:tc>
        <w:tc>
          <w:tcPr>
            <w:tcW w:w="2250" w:type="dxa"/>
            <w:tcBorders>
              <w:top w:val="nil"/>
              <w:left w:val="nil"/>
              <w:bottom w:val="nil"/>
              <w:right w:val="nil"/>
            </w:tcBorders>
            <w:shd w:val="clear" w:color="auto" w:fill="auto"/>
            <w:vAlign w:val="bottom"/>
            <w:hideMark/>
          </w:tcPr>
          <w:p w14:paraId="694D6C28"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5A3B278D"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933.34</w:t>
            </w:r>
          </w:p>
        </w:tc>
      </w:tr>
      <w:tr w:rsidR="00976677" w:rsidRPr="00976677" w14:paraId="723F1683" w14:textId="77777777" w:rsidTr="00C322E0">
        <w:trPr>
          <w:trHeight w:val="300"/>
        </w:trPr>
        <w:tc>
          <w:tcPr>
            <w:tcW w:w="1416" w:type="dxa"/>
            <w:tcBorders>
              <w:top w:val="nil"/>
              <w:left w:val="nil"/>
              <w:bottom w:val="nil"/>
              <w:right w:val="nil"/>
            </w:tcBorders>
            <w:shd w:val="clear" w:color="auto" w:fill="auto"/>
            <w:vAlign w:val="bottom"/>
            <w:hideMark/>
          </w:tcPr>
          <w:p w14:paraId="208C927A"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4BDC0D5D"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30320</w:t>
            </w:r>
          </w:p>
        </w:tc>
        <w:tc>
          <w:tcPr>
            <w:tcW w:w="3508" w:type="dxa"/>
            <w:tcBorders>
              <w:top w:val="nil"/>
              <w:left w:val="nil"/>
              <w:bottom w:val="nil"/>
              <w:right w:val="nil"/>
            </w:tcBorders>
            <w:shd w:val="clear" w:color="auto" w:fill="auto"/>
            <w:vAlign w:val="bottom"/>
            <w:hideMark/>
          </w:tcPr>
          <w:p w14:paraId="53F987B8"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ANGELA NELSON</w:t>
            </w:r>
          </w:p>
        </w:tc>
        <w:tc>
          <w:tcPr>
            <w:tcW w:w="2250" w:type="dxa"/>
            <w:tcBorders>
              <w:top w:val="nil"/>
              <w:left w:val="nil"/>
              <w:bottom w:val="nil"/>
              <w:right w:val="nil"/>
            </w:tcBorders>
            <w:shd w:val="clear" w:color="auto" w:fill="auto"/>
            <w:vAlign w:val="bottom"/>
            <w:hideMark/>
          </w:tcPr>
          <w:p w14:paraId="26D87D01"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5A405D10"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700.04</w:t>
            </w:r>
          </w:p>
        </w:tc>
      </w:tr>
      <w:tr w:rsidR="00976677" w:rsidRPr="00976677" w14:paraId="07F7FE98" w14:textId="77777777" w:rsidTr="00C322E0">
        <w:trPr>
          <w:trHeight w:val="300"/>
        </w:trPr>
        <w:tc>
          <w:tcPr>
            <w:tcW w:w="1416" w:type="dxa"/>
            <w:tcBorders>
              <w:top w:val="nil"/>
              <w:left w:val="nil"/>
              <w:bottom w:val="nil"/>
              <w:right w:val="nil"/>
            </w:tcBorders>
            <w:shd w:val="clear" w:color="auto" w:fill="auto"/>
            <w:vAlign w:val="bottom"/>
            <w:hideMark/>
          </w:tcPr>
          <w:p w14:paraId="794F8869"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7B3128D7"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30319</w:t>
            </w:r>
          </w:p>
        </w:tc>
        <w:tc>
          <w:tcPr>
            <w:tcW w:w="3508" w:type="dxa"/>
            <w:tcBorders>
              <w:top w:val="nil"/>
              <w:left w:val="nil"/>
              <w:bottom w:val="nil"/>
              <w:right w:val="nil"/>
            </w:tcBorders>
            <w:shd w:val="clear" w:color="auto" w:fill="auto"/>
            <w:vAlign w:val="bottom"/>
            <w:hideMark/>
          </w:tcPr>
          <w:p w14:paraId="27F8B45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MICHAEL MYERS</w:t>
            </w:r>
          </w:p>
        </w:tc>
        <w:tc>
          <w:tcPr>
            <w:tcW w:w="2250" w:type="dxa"/>
            <w:tcBorders>
              <w:top w:val="nil"/>
              <w:left w:val="nil"/>
              <w:bottom w:val="nil"/>
              <w:right w:val="nil"/>
            </w:tcBorders>
            <w:shd w:val="clear" w:color="auto" w:fill="auto"/>
            <w:vAlign w:val="bottom"/>
            <w:hideMark/>
          </w:tcPr>
          <w:p w14:paraId="0B2A7D24"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780F8F43"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760.98</w:t>
            </w:r>
          </w:p>
        </w:tc>
      </w:tr>
      <w:tr w:rsidR="00976677" w:rsidRPr="00976677" w14:paraId="71CB7FE3" w14:textId="77777777" w:rsidTr="00C322E0">
        <w:trPr>
          <w:trHeight w:val="300"/>
        </w:trPr>
        <w:tc>
          <w:tcPr>
            <w:tcW w:w="1416" w:type="dxa"/>
            <w:tcBorders>
              <w:top w:val="nil"/>
              <w:left w:val="nil"/>
              <w:bottom w:val="nil"/>
              <w:right w:val="nil"/>
            </w:tcBorders>
            <w:shd w:val="clear" w:color="auto" w:fill="auto"/>
            <w:vAlign w:val="bottom"/>
            <w:hideMark/>
          </w:tcPr>
          <w:p w14:paraId="4FEECD6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174BE85A"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30318</w:t>
            </w:r>
          </w:p>
        </w:tc>
        <w:tc>
          <w:tcPr>
            <w:tcW w:w="3508" w:type="dxa"/>
            <w:tcBorders>
              <w:top w:val="nil"/>
              <w:left w:val="nil"/>
              <w:bottom w:val="nil"/>
              <w:right w:val="nil"/>
            </w:tcBorders>
            <w:shd w:val="clear" w:color="auto" w:fill="auto"/>
            <w:vAlign w:val="bottom"/>
            <w:hideMark/>
          </w:tcPr>
          <w:p w14:paraId="561D940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CYNTHIA CHRISTLIEB</w:t>
            </w:r>
          </w:p>
        </w:tc>
        <w:tc>
          <w:tcPr>
            <w:tcW w:w="2250" w:type="dxa"/>
            <w:tcBorders>
              <w:top w:val="nil"/>
              <w:left w:val="nil"/>
              <w:bottom w:val="nil"/>
              <w:right w:val="nil"/>
            </w:tcBorders>
            <w:shd w:val="clear" w:color="auto" w:fill="auto"/>
            <w:vAlign w:val="bottom"/>
            <w:hideMark/>
          </w:tcPr>
          <w:p w14:paraId="47C5518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77D642BF"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360.16</w:t>
            </w:r>
          </w:p>
        </w:tc>
      </w:tr>
      <w:tr w:rsidR="00976677" w:rsidRPr="00976677" w14:paraId="72C61A61" w14:textId="77777777" w:rsidTr="00C322E0">
        <w:trPr>
          <w:trHeight w:val="300"/>
        </w:trPr>
        <w:tc>
          <w:tcPr>
            <w:tcW w:w="1416" w:type="dxa"/>
            <w:tcBorders>
              <w:top w:val="nil"/>
              <w:left w:val="nil"/>
              <w:bottom w:val="nil"/>
              <w:right w:val="nil"/>
            </w:tcBorders>
            <w:shd w:val="clear" w:color="auto" w:fill="auto"/>
            <w:vAlign w:val="bottom"/>
            <w:hideMark/>
          </w:tcPr>
          <w:p w14:paraId="26F613E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4965BF02"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5F5D9DD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KARI LAVECCHIA</w:t>
            </w:r>
          </w:p>
        </w:tc>
        <w:tc>
          <w:tcPr>
            <w:tcW w:w="2250" w:type="dxa"/>
            <w:tcBorders>
              <w:top w:val="nil"/>
              <w:left w:val="nil"/>
              <w:bottom w:val="nil"/>
              <w:right w:val="nil"/>
            </w:tcBorders>
            <w:shd w:val="clear" w:color="auto" w:fill="auto"/>
            <w:vAlign w:val="bottom"/>
            <w:hideMark/>
          </w:tcPr>
          <w:p w14:paraId="257E4E4D"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798EB517"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200.00</w:t>
            </w:r>
          </w:p>
        </w:tc>
      </w:tr>
      <w:tr w:rsidR="00976677" w:rsidRPr="00976677" w14:paraId="6C282796" w14:textId="77777777" w:rsidTr="00C322E0">
        <w:trPr>
          <w:trHeight w:val="300"/>
        </w:trPr>
        <w:tc>
          <w:tcPr>
            <w:tcW w:w="1416" w:type="dxa"/>
            <w:tcBorders>
              <w:top w:val="nil"/>
              <w:left w:val="nil"/>
              <w:bottom w:val="nil"/>
              <w:right w:val="nil"/>
            </w:tcBorders>
            <w:shd w:val="clear" w:color="auto" w:fill="auto"/>
            <w:vAlign w:val="bottom"/>
            <w:hideMark/>
          </w:tcPr>
          <w:p w14:paraId="34EEF227"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4DCC7FD5"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3950FB07"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KARI LAVECCHIA</w:t>
            </w:r>
          </w:p>
        </w:tc>
        <w:tc>
          <w:tcPr>
            <w:tcW w:w="2250" w:type="dxa"/>
            <w:tcBorders>
              <w:top w:val="nil"/>
              <w:left w:val="nil"/>
              <w:bottom w:val="nil"/>
              <w:right w:val="nil"/>
            </w:tcBorders>
            <w:shd w:val="clear" w:color="auto" w:fill="auto"/>
            <w:vAlign w:val="bottom"/>
            <w:hideMark/>
          </w:tcPr>
          <w:p w14:paraId="72BAFD8D"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0A9E0B67"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2,236.39</w:t>
            </w:r>
          </w:p>
        </w:tc>
      </w:tr>
      <w:tr w:rsidR="00976677" w:rsidRPr="00976677" w14:paraId="06AF01F6" w14:textId="77777777" w:rsidTr="00C322E0">
        <w:trPr>
          <w:trHeight w:val="300"/>
        </w:trPr>
        <w:tc>
          <w:tcPr>
            <w:tcW w:w="1416" w:type="dxa"/>
            <w:tcBorders>
              <w:top w:val="nil"/>
              <w:left w:val="nil"/>
              <w:bottom w:val="nil"/>
              <w:right w:val="nil"/>
            </w:tcBorders>
            <w:shd w:val="clear" w:color="auto" w:fill="auto"/>
            <w:vAlign w:val="bottom"/>
            <w:hideMark/>
          </w:tcPr>
          <w:p w14:paraId="5B839608"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621FAA83"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73DD5C39"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GAVIN LAMONT</w:t>
            </w:r>
          </w:p>
        </w:tc>
        <w:tc>
          <w:tcPr>
            <w:tcW w:w="2250" w:type="dxa"/>
            <w:tcBorders>
              <w:top w:val="nil"/>
              <w:left w:val="nil"/>
              <w:bottom w:val="nil"/>
              <w:right w:val="nil"/>
            </w:tcBorders>
            <w:shd w:val="clear" w:color="auto" w:fill="auto"/>
            <w:vAlign w:val="bottom"/>
            <w:hideMark/>
          </w:tcPr>
          <w:p w14:paraId="0E27E17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2B01FF61"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354.62</w:t>
            </w:r>
          </w:p>
        </w:tc>
      </w:tr>
      <w:tr w:rsidR="00976677" w:rsidRPr="00976677" w14:paraId="5F7392D2" w14:textId="77777777" w:rsidTr="00C322E0">
        <w:trPr>
          <w:trHeight w:val="300"/>
        </w:trPr>
        <w:tc>
          <w:tcPr>
            <w:tcW w:w="1416" w:type="dxa"/>
            <w:tcBorders>
              <w:top w:val="nil"/>
              <w:left w:val="nil"/>
              <w:bottom w:val="nil"/>
              <w:right w:val="nil"/>
            </w:tcBorders>
            <w:shd w:val="clear" w:color="auto" w:fill="auto"/>
            <w:vAlign w:val="bottom"/>
            <w:hideMark/>
          </w:tcPr>
          <w:p w14:paraId="02EAE60E"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08885698"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716EBED7"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PERRY BELLAH</w:t>
            </w:r>
          </w:p>
        </w:tc>
        <w:tc>
          <w:tcPr>
            <w:tcW w:w="2250" w:type="dxa"/>
            <w:tcBorders>
              <w:top w:val="nil"/>
              <w:left w:val="nil"/>
              <w:bottom w:val="nil"/>
              <w:right w:val="nil"/>
            </w:tcBorders>
            <w:shd w:val="clear" w:color="auto" w:fill="auto"/>
            <w:vAlign w:val="bottom"/>
            <w:hideMark/>
          </w:tcPr>
          <w:p w14:paraId="409C22BA"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40ED0207"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1,144.79</w:t>
            </w:r>
          </w:p>
        </w:tc>
      </w:tr>
      <w:tr w:rsidR="00976677" w:rsidRPr="00976677" w14:paraId="55B13599" w14:textId="77777777" w:rsidTr="00C322E0">
        <w:trPr>
          <w:trHeight w:val="300"/>
        </w:trPr>
        <w:tc>
          <w:tcPr>
            <w:tcW w:w="1416" w:type="dxa"/>
            <w:tcBorders>
              <w:top w:val="nil"/>
              <w:left w:val="nil"/>
              <w:bottom w:val="nil"/>
              <w:right w:val="nil"/>
            </w:tcBorders>
            <w:shd w:val="clear" w:color="auto" w:fill="auto"/>
            <w:vAlign w:val="bottom"/>
            <w:hideMark/>
          </w:tcPr>
          <w:p w14:paraId="6FD458AE"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405AF59C"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7C8D38C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JAYDEN BONDY</w:t>
            </w:r>
          </w:p>
        </w:tc>
        <w:tc>
          <w:tcPr>
            <w:tcW w:w="2250" w:type="dxa"/>
            <w:tcBorders>
              <w:top w:val="nil"/>
              <w:left w:val="nil"/>
              <w:bottom w:val="nil"/>
              <w:right w:val="nil"/>
            </w:tcBorders>
            <w:shd w:val="clear" w:color="auto" w:fill="auto"/>
            <w:vAlign w:val="bottom"/>
            <w:hideMark/>
          </w:tcPr>
          <w:p w14:paraId="50C966E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597E19D0"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472.84</w:t>
            </w:r>
          </w:p>
        </w:tc>
      </w:tr>
      <w:tr w:rsidR="00976677" w:rsidRPr="00976677" w14:paraId="2FC82E44" w14:textId="77777777" w:rsidTr="00C322E0">
        <w:trPr>
          <w:trHeight w:val="300"/>
        </w:trPr>
        <w:tc>
          <w:tcPr>
            <w:tcW w:w="1416" w:type="dxa"/>
            <w:tcBorders>
              <w:top w:val="nil"/>
              <w:left w:val="nil"/>
              <w:bottom w:val="nil"/>
              <w:right w:val="nil"/>
            </w:tcBorders>
            <w:shd w:val="clear" w:color="auto" w:fill="auto"/>
            <w:vAlign w:val="bottom"/>
            <w:hideMark/>
          </w:tcPr>
          <w:p w14:paraId="0A622426"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7211790E"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235DF138"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JOANN LAVIGNE</w:t>
            </w:r>
          </w:p>
        </w:tc>
        <w:tc>
          <w:tcPr>
            <w:tcW w:w="2250" w:type="dxa"/>
            <w:tcBorders>
              <w:top w:val="nil"/>
              <w:left w:val="nil"/>
              <w:bottom w:val="nil"/>
              <w:right w:val="nil"/>
            </w:tcBorders>
            <w:shd w:val="clear" w:color="auto" w:fill="auto"/>
            <w:vAlign w:val="bottom"/>
            <w:hideMark/>
          </w:tcPr>
          <w:p w14:paraId="65FBB0CE"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03BAC946"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415.57</w:t>
            </w:r>
          </w:p>
        </w:tc>
      </w:tr>
      <w:tr w:rsidR="00976677" w:rsidRPr="00976677" w14:paraId="35FD1014" w14:textId="77777777" w:rsidTr="00C322E0">
        <w:trPr>
          <w:trHeight w:val="300"/>
        </w:trPr>
        <w:tc>
          <w:tcPr>
            <w:tcW w:w="1416" w:type="dxa"/>
            <w:tcBorders>
              <w:top w:val="nil"/>
              <w:left w:val="nil"/>
              <w:bottom w:val="nil"/>
              <w:right w:val="nil"/>
            </w:tcBorders>
            <w:shd w:val="clear" w:color="auto" w:fill="auto"/>
            <w:vAlign w:val="bottom"/>
            <w:hideMark/>
          </w:tcPr>
          <w:p w14:paraId="2DA3A425"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07/14/2023</w:t>
            </w:r>
          </w:p>
        </w:tc>
        <w:tc>
          <w:tcPr>
            <w:tcW w:w="746" w:type="dxa"/>
            <w:tcBorders>
              <w:top w:val="nil"/>
              <w:left w:val="nil"/>
              <w:bottom w:val="nil"/>
              <w:right w:val="nil"/>
            </w:tcBorders>
            <w:shd w:val="clear" w:color="auto" w:fill="auto"/>
            <w:vAlign w:val="bottom"/>
            <w:hideMark/>
          </w:tcPr>
          <w:p w14:paraId="79DCF72E"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2D03947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RICHARD LEGG</w:t>
            </w:r>
          </w:p>
        </w:tc>
        <w:tc>
          <w:tcPr>
            <w:tcW w:w="2250" w:type="dxa"/>
            <w:tcBorders>
              <w:top w:val="nil"/>
              <w:left w:val="nil"/>
              <w:bottom w:val="nil"/>
              <w:right w:val="nil"/>
            </w:tcBorders>
            <w:shd w:val="clear" w:color="auto" w:fill="auto"/>
            <w:vAlign w:val="bottom"/>
            <w:hideMark/>
          </w:tcPr>
          <w:p w14:paraId="7D62D99D"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54435412"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934.12</w:t>
            </w:r>
          </w:p>
        </w:tc>
      </w:tr>
      <w:tr w:rsidR="00976677" w:rsidRPr="00976677" w14:paraId="70EA7119" w14:textId="77777777" w:rsidTr="00C322E0">
        <w:trPr>
          <w:trHeight w:val="300"/>
        </w:trPr>
        <w:tc>
          <w:tcPr>
            <w:tcW w:w="1416" w:type="dxa"/>
            <w:tcBorders>
              <w:top w:val="nil"/>
              <w:left w:val="nil"/>
              <w:bottom w:val="nil"/>
              <w:right w:val="nil"/>
            </w:tcBorders>
            <w:shd w:val="clear" w:color="auto" w:fill="auto"/>
            <w:vAlign w:val="bottom"/>
            <w:hideMark/>
          </w:tcPr>
          <w:p w14:paraId="485EAB6D"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lastRenderedPageBreak/>
              <w:t>07/14/2023</w:t>
            </w:r>
          </w:p>
        </w:tc>
        <w:tc>
          <w:tcPr>
            <w:tcW w:w="746" w:type="dxa"/>
            <w:tcBorders>
              <w:top w:val="nil"/>
              <w:left w:val="nil"/>
              <w:bottom w:val="nil"/>
              <w:right w:val="nil"/>
            </w:tcBorders>
            <w:shd w:val="clear" w:color="auto" w:fill="auto"/>
            <w:vAlign w:val="bottom"/>
            <w:hideMark/>
          </w:tcPr>
          <w:p w14:paraId="72E35E78"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17AC14B0"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GABRIELLA ABRIL</w:t>
            </w:r>
          </w:p>
        </w:tc>
        <w:tc>
          <w:tcPr>
            <w:tcW w:w="2250" w:type="dxa"/>
            <w:tcBorders>
              <w:top w:val="nil"/>
              <w:left w:val="nil"/>
              <w:bottom w:val="nil"/>
              <w:right w:val="nil"/>
            </w:tcBorders>
            <w:shd w:val="clear" w:color="auto" w:fill="auto"/>
            <w:vAlign w:val="bottom"/>
            <w:hideMark/>
          </w:tcPr>
          <w:p w14:paraId="3FA2576A"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52004F2E"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339.84</w:t>
            </w:r>
          </w:p>
        </w:tc>
      </w:tr>
      <w:tr w:rsidR="00976677" w:rsidRPr="00976677" w14:paraId="1851E82F" w14:textId="77777777" w:rsidTr="00C322E0">
        <w:trPr>
          <w:trHeight w:val="300"/>
        </w:trPr>
        <w:tc>
          <w:tcPr>
            <w:tcW w:w="1416" w:type="dxa"/>
            <w:tcBorders>
              <w:top w:val="nil"/>
              <w:left w:val="nil"/>
              <w:bottom w:val="nil"/>
              <w:right w:val="nil"/>
            </w:tcBorders>
            <w:shd w:val="clear" w:color="auto" w:fill="auto"/>
            <w:vAlign w:val="bottom"/>
            <w:hideMark/>
          </w:tcPr>
          <w:p w14:paraId="6D01C0A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7749523C"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EFT</w:t>
            </w:r>
          </w:p>
        </w:tc>
        <w:tc>
          <w:tcPr>
            <w:tcW w:w="3508" w:type="dxa"/>
            <w:tcBorders>
              <w:top w:val="nil"/>
              <w:left w:val="nil"/>
              <w:bottom w:val="nil"/>
              <w:right w:val="nil"/>
            </w:tcBorders>
            <w:shd w:val="clear" w:color="auto" w:fill="auto"/>
            <w:vAlign w:val="bottom"/>
            <w:hideMark/>
          </w:tcPr>
          <w:p w14:paraId="52E4BA36"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NDPERS</w:t>
            </w:r>
          </w:p>
        </w:tc>
        <w:tc>
          <w:tcPr>
            <w:tcW w:w="2250" w:type="dxa"/>
            <w:tcBorders>
              <w:top w:val="nil"/>
              <w:left w:val="nil"/>
              <w:bottom w:val="nil"/>
              <w:right w:val="nil"/>
            </w:tcBorders>
            <w:shd w:val="clear" w:color="auto" w:fill="auto"/>
            <w:vAlign w:val="bottom"/>
            <w:hideMark/>
          </w:tcPr>
          <w:p w14:paraId="2BC8918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retirement</w:t>
            </w:r>
          </w:p>
        </w:tc>
        <w:tc>
          <w:tcPr>
            <w:tcW w:w="1260" w:type="dxa"/>
            <w:tcBorders>
              <w:top w:val="nil"/>
              <w:left w:val="nil"/>
              <w:bottom w:val="nil"/>
              <w:right w:val="nil"/>
            </w:tcBorders>
            <w:shd w:val="clear" w:color="auto" w:fill="auto"/>
            <w:vAlign w:val="bottom"/>
            <w:hideMark/>
          </w:tcPr>
          <w:p w14:paraId="488458DD"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1,534.10</w:t>
            </w:r>
          </w:p>
        </w:tc>
      </w:tr>
      <w:tr w:rsidR="00976677" w:rsidRPr="00976677" w14:paraId="68F5EAFF" w14:textId="77777777" w:rsidTr="00C322E0">
        <w:trPr>
          <w:trHeight w:val="300"/>
        </w:trPr>
        <w:tc>
          <w:tcPr>
            <w:tcW w:w="1416" w:type="dxa"/>
            <w:tcBorders>
              <w:top w:val="nil"/>
              <w:left w:val="nil"/>
              <w:bottom w:val="nil"/>
              <w:right w:val="nil"/>
            </w:tcBorders>
            <w:shd w:val="clear" w:color="auto" w:fill="auto"/>
            <w:vAlign w:val="bottom"/>
            <w:hideMark/>
          </w:tcPr>
          <w:p w14:paraId="19451B0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0B29DD98"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EFT</w:t>
            </w:r>
          </w:p>
        </w:tc>
        <w:tc>
          <w:tcPr>
            <w:tcW w:w="3508" w:type="dxa"/>
            <w:tcBorders>
              <w:top w:val="nil"/>
              <w:left w:val="nil"/>
              <w:bottom w:val="nil"/>
              <w:right w:val="nil"/>
            </w:tcBorders>
            <w:shd w:val="clear" w:color="auto" w:fill="auto"/>
            <w:vAlign w:val="bottom"/>
            <w:hideMark/>
          </w:tcPr>
          <w:p w14:paraId="6026B6BB"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IRS</w:t>
            </w:r>
          </w:p>
        </w:tc>
        <w:tc>
          <w:tcPr>
            <w:tcW w:w="2250" w:type="dxa"/>
            <w:tcBorders>
              <w:top w:val="nil"/>
              <w:left w:val="nil"/>
              <w:bottom w:val="nil"/>
              <w:right w:val="nil"/>
            </w:tcBorders>
            <w:shd w:val="clear" w:color="auto" w:fill="auto"/>
            <w:vAlign w:val="bottom"/>
            <w:hideMark/>
          </w:tcPr>
          <w:p w14:paraId="483D0BB6"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Fed Tx Pmt</w:t>
            </w:r>
          </w:p>
        </w:tc>
        <w:tc>
          <w:tcPr>
            <w:tcW w:w="1260" w:type="dxa"/>
            <w:tcBorders>
              <w:top w:val="nil"/>
              <w:left w:val="nil"/>
              <w:bottom w:val="nil"/>
              <w:right w:val="nil"/>
            </w:tcBorders>
            <w:shd w:val="clear" w:color="auto" w:fill="auto"/>
            <w:vAlign w:val="bottom"/>
            <w:hideMark/>
          </w:tcPr>
          <w:p w14:paraId="68F70E8B"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110.16</w:t>
            </w:r>
          </w:p>
        </w:tc>
      </w:tr>
      <w:tr w:rsidR="00976677" w:rsidRPr="00976677" w14:paraId="39DA6458" w14:textId="77777777" w:rsidTr="00C322E0">
        <w:trPr>
          <w:trHeight w:val="300"/>
        </w:trPr>
        <w:tc>
          <w:tcPr>
            <w:tcW w:w="1416" w:type="dxa"/>
            <w:tcBorders>
              <w:top w:val="nil"/>
              <w:left w:val="nil"/>
              <w:bottom w:val="nil"/>
              <w:right w:val="nil"/>
            </w:tcBorders>
            <w:shd w:val="clear" w:color="auto" w:fill="auto"/>
            <w:vAlign w:val="bottom"/>
            <w:hideMark/>
          </w:tcPr>
          <w:p w14:paraId="3D45262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20D6A1FB"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30317</w:t>
            </w:r>
          </w:p>
        </w:tc>
        <w:tc>
          <w:tcPr>
            <w:tcW w:w="3508" w:type="dxa"/>
            <w:tcBorders>
              <w:top w:val="nil"/>
              <w:left w:val="nil"/>
              <w:bottom w:val="nil"/>
              <w:right w:val="nil"/>
            </w:tcBorders>
            <w:shd w:val="clear" w:color="auto" w:fill="auto"/>
            <w:vAlign w:val="bottom"/>
            <w:hideMark/>
          </w:tcPr>
          <w:p w14:paraId="6510E9E8"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Hatton Co-op Oil</w:t>
            </w:r>
          </w:p>
        </w:tc>
        <w:tc>
          <w:tcPr>
            <w:tcW w:w="2250" w:type="dxa"/>
            <w:tcBorders>
              <w:top w:val="nil"/>
              <w:left w:val="nil"/>
              <w:bottom w:val="nil"/>
              <w:right w:val="nil"/>
            </w:tcBorders>
            <w:shd w:val="clear" w:color="auto" w:fill="auto"/>
            <w:vAlign w:val="bottom"/>
            <w:hideMark/>
          </w:tcPr>
          <w:p w14:paraId="54EA4D4F"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3BA4BC59"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3,268.00</w:t>
            </w:r>
          </w:p>
        </w:tc>
      </w:tr>
      <w:tr w:rsidR="00976677" w:rsidRPr="00976677" w14:paraId="0625174D" w14:textId="77777777" w:rsidTr="00C322E0">
        <w:trPr>
          <w:trHeight w:val="300"/>
        </w:trPr>
        <w:tc>
          <w:tcPr>
            <w:tcW w:w="1416" w:type="dxa"/>
            <w:tcBorders>
              <w:top w:val="nil"/>
              <w:left w:val="nil"/>
              <w:bottom w:val="nil"/>
              <w:right w:val="nil"/>
            </w:tcBorders>
            <w:shd w:val="clear" w:color="auto" w:fill="auto"/>
            <w:vAlign w:val="bottom"/>
            <w:hideMark/>
          </w:tcPr>
          <w:p w14:paraId="0A485EC9"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1568FE31"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30316</w:t>
            </w:r>
          </w:p>
        </w:tc>
        <w:tc>
          <w:tcPr>
            <w:tcW w:w="3508" w:type="dxa"/>
            <w:tcBorders>
              <w:top w:val="nil"/>
              <w:left w:val="nil"/>
              <w:bottom w:val="nil"/>
              <w:right w:val="nil"/>
            </w:tcBorders>
            <w:shd w:val="clear" w:color="auto" w:fill="auto"/>
            <w:vAlign w:val="bottom"/>
            <w:hideMark/>
          </w:tcPr>
          <w:p w14:paraId="77EC67FA"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Butler Ag Equipment</w:t>
            </w:r>
          </w:p>
        </w:tc>
        <w:tc>
          <w:tcPr>
            <w:tcW w:w="2250" w:type="dxa"/>
            <w:tcBorders>
              <w:top w:val="nil"/>
              <w:left w:val="nil"/>
              <w:bottom w:val="nil"/>
              <w:right w:val="nil"/>
            </w:tcBorders>
            <w:shd w:val="clear" w:color="auto" w:fill="auto"/>
            <w:vAlign w:val="bottom"/>
            <w:hideMark/>
          </w:tcPr>
          <w:p w14:paraId="435DDB47"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02B21D92"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244.83</w:t>
            </w:r>
          </w:p>
        </w:tc>
      </w:tr>
      <w:tr w:rsidR="00976677" w:rsidRPr="00976677" w14:paraId="2C196AC1" w14:textId="77777777" w:rsidTr="00C322E0">
        <w:trPr>
          <w:trHeight w:val="300"/>
        </w:trPr>
        <w:tc>
          <w:tcPr>
            <w:tcW w:w="1416" w:type="dxa"/>
            <w:tcBorders>
              <w:top w:val="nil"/>
              <w:left w:val="nil"/>
              <w:bottom w:val="nil"/>
              <w:right w:val="nil"/>
            </w:tcBorders>
            <w:shd w:val="clear" w:color="auto" w:fill="auto"/>
            <w:vAlign w:val="bottom"/>
            <w:hideMark/>
          </w:tcPr>
          <w:p w14:paraId="57FB8D5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686AEF95"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30315</w:t>
            </w:r>
          </w:p>
        </w:tc>
        <w:tc>
          <w:tcPr>
            <w:tcW w:w="3508" w:type="dxa"/>
            <w:tcBorders>
              <w:top w:val="nil"/>
              <w:left w:val="nil"/>
              <w:bottom w:val="nil"/>
              <w:right w:val="nil"/>
            </w:tcBorders>
            <w:shd w:val="clear" w:color="auto" w:fill="auto"/>
            <w:vAlign w:val="bottom"/>
            <w:hideMark/>
          </w:tcPr>
          <w:p w14:paraId="69760AA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Knutson Printing Company</w:t>
            </w:r>
          </w:p>
        </w:tc>
        <w:tc>
          <w:tcPr>
            <w:tcW w:w="2250" w:type="dxa"/>
            <w:tcBorders>
              <w:top w:val="nil"/>
              <w:left w:val="nil"/>
              <w:bottom w:val="nil"/>
              <w:right w:val="nil"/>
            </w:tcBorders>
            <w:shd w:val="clear" w:color="auto" w:fill="auto"/>
            <w:vAlign w:val="bottom"/>
            <w:hideMark/>
          </w:tcPr>
          <w:p w14:paraId="7082CB14"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64B5C37C"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40.00</w:t>
            </w:r>
          </w:p>
        </w:tc>
      </w:tr>
      <w:tr w:rsidR="00976677" w:rsidRPr="00976677" w14:paraId="41E3978E" w14:textId="77777777" w:rsidTr="00C322E0">
        <w:trPr>
          <w:trHeight w:val="300"/>
        </w:trPr>
        <w:tc>
          <w:tcPr>
            <w:tcW w:w="1416" w:type="dxa"/>
            <w:tcBorders>
              <w:top w:val="nil"/>
              <w:left w:val="nil"/>
              <w:bottom w:val="nil"/>
              <w:right w:val="nil"/>
            </w:tcBorders>
            <w:shd w:val="clear" w:color="auto" w:fill="auto"/>
            <w:vAlign w:val="bottom"/>
            <w:hideMark/>
          </w:tcPr>
          <w:p w14:paraId="66212782"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20F58550"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30314</w:t>
            </w:r>
          </w:p>
        </w:tc>
        <w:tc>
          <w:tcPr>
            <w:tcW w:w="3508" w:type="dxa"/>
            <w:tcBorders>
              <w:top w:val="nil"/>
              <w:left w:val="nil"/>
              <w:bottom w:val="nil"/>
              <w:right w:val="nil"/>
            </w:tcBorders>
            <w:shd w:val="clear" w:color="auto" w:fill="auto"/>
            <w:vAlign w:val="bottom"/>
            <w:hideMark/>
          </w:tcPr>
          <w:p w14:paraId="060814C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HDR Engineering Inc</w:t>
            </w:r>
          </w:p>
        </w:tc>
        <w:tc>
          <w:tcPr>
            <w:tcW w:w="2250" w:type="dxa"/>
            <w:tcBorders>
              <w:top w:val="nil"/>
              <w:left w:val="nil"/>
              <w:bottom w:val="nil"/>
              <w:right w:val="nil"/>
            </w:tcBorders>
            <w:shd w:val="clear" w:color="auto" w:fill="auto"/>
            <w:vAlign w:val="bottom"/>
            <w:hideMark/>
          </w:tcPr>
          <w:p w14:paraId="7F129B90"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07E6F221"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17,192.50</w:t>
            </w:r>
          </w:p>
        </w:tc>
      </w:tr>
      <w:tr w:rsidR="00976677" w:rsidRPr="00976677" w14:paraId="4930CB8C" w14:textId="77777777" w:rsidTr="00C322E0">
        <w:trPr>
          <w:trHeight w:val="300"/>
        </w:trPr>
        <w:tc>
          <w:tcPr>
            <w:tcW w:w="1416" w:type="dxa"/>
            <w:tcBorders>
              <w:top w:val="nil"/>
              <w:left w:val="nil"/>
              <w:bottom w:val="nil"/>
              <w:right w:val="nil"/>
            </w:tcBorders>
            <w:shd w:val="clear" w:color="auto" w:fill="auto"/>
            <w:vAlign w:val="bottom"/>
            <w:hideMark/>
          </w:tcPr>
          <w:p w14:paraId="533A0BEF"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07/07/2023</w:t>
            </w:r>
          </w:p>
        </w:tc>
        <w:tc>
          <w:tcPr>
            <w:tcW w:w="746" w:type="dxa"/>
            <w:tcBorders>
              <w:top w:val="nil"/>
              <w:left w:val="nil"/>
              <w:bottom w:val="nil"/>
              <w:right w:val="nil"/>
            </w:tcBorders>
            <w:shd w:val="clear" w:color="auto" w:fill="auto"/>
            <w:vAlign w:val="bottom"/>
            <w:hideMark/>
          </w:tcPr>
          <w:p w14:paraId="74E8B87F"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30313</w:t>
            </w:r>
          </w:p>
        </w:tc>
        <w:tc>
          <w:tcPr>
            <w:tcW w:w="3508" w:type="dxa"/>
            <w:tcBorders>
              <w:top w:val="nil"/>
              <w:left w:val="nil"/>
              <w:bottom w:val="nil"/>
              <w:right w:val="nil"/>
            </w:tcBorders>
            <w:shd w:val="clear" w:color="auto" w:fill="auto"/>
            <w:vAlign w:val="bottom"/>
            <w:hideMark/>
          </w:tcPr>
          <w:p w14:paraId="1EFAD6D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PRIBULA ENGINEERING PLLC</w:t>
            </w:r>
          </w:p>
        </w:tc>
        <w:tc>
          <w:tcPr>
            <w:tcW w:w="2250" w:type="dxa"/>
            <w:tcBorders>
              <w:top w:val="nil"/>
              <w:left w:val="nil"/>
              <w:bottom w:val="nil"/>
              <w:right w:val="nil"/>
            </w:tcBorders>
            <w:shd w:val="clear" w:color="auto" w:fill="auto"/>
            <w:vAlign w:val="bottom"/>
            <w:hideMark/>
          </w:tcPr>
          <w:p w14:paraId="18102BB4" w14:textId="77777777" w:rsidR="00976677" w:rsidRPr="00976677" w:rsidRDefault="00976677" w:rsidP="00976677">
            <w:pPr>
              <w:widowControl/>
              <w:overflowPunct/>
              <w:autoSpaceDE/>
              <w:autoSpaceDN/>
              <w:adjustRightInd/>
              <w:rPr>
                <w:rFonts w:ascii="Seaford" w:hAnsi="Seaford" w:cs="Arial"/>
                <w:kern w:val="0"/>
              </w:rPr>
            </w:pPr>
          </w:p>
        </w:tc>
        <w:tc>
          <w:tcPr>
            <w:tcW w:w="1260" w:type="dxa"/>
            <w:tcBorders>
              <w:top w:val="nil"/>
              <w:left w:val="nil"/>
              <w:bottom w:val="nil"/>
              <w:right w:val="nil"/>
            </w:tcBorders>
            <w:shd w:val="clear" w:color="auto" w:fill="auto"/>
            <w:vAlign w:val="bottom"/>
            <w:hideMark/>
          </w:tcPr>
          <w:p w14:paraId="3F696412"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2,910.00</w:t>
            </w:r>
          </w:p>
        </w:tc>
      </w:tr>
      <w:tr w:rsidR="00976677" w:rsidRPr="00976677" w14:paraId="2F56D0E0" w14:textId="77777777" w:rsidTr="00C322E0">
        <w:trPr>
          <w:trHeight w:val="300"/>
        </w:trPr>
        <w:tc>
          <w:tcPr>
            <w:tcW w:w="1416" w:type="dxa"/>
            <w:tcBorders>
              <w:top w:val="nil"/>
              <w:left w:val="nil"/>
              <w:bottom w:val="nil"/>
              <w:right w:val="nil"/>
            </w:tcBorders>
            <w:shd w:val="clear" w:color="auto" w:fill="auto"/>
            <w:vAlign w:val="bottom"/>
            <w:hideMark/>
          </w:tcPr>
          <w:p w14:paraId="6FFD9EDC"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07/06/2023</w:t>
            </w:r>
          </w:p>
        </w:tc>
        <w:tc>
          <w:tcPr>
            <w:tcW w:w="746" w:type="dxa"/>
            <w:tcBorders>
              <w:top w:val="nil"/>
              <w:left w:val="nil"/>
              <w:bottom w:val="nil"/>
              <w:right w:val="nil"/>
            </w:tcBorders>
            <w:shd w:val="clear" w:color="auto" w:fill="auto"/>
            <w:vAlign w:val="bottom"/>
            <w:hideMark/>
          </w:tcPr>
          <w:p w14:paraId="6FC4586D"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EFT</w:t>
            </w:r>
          </w:p>
        </w:tc>
        <w:tc>
          <w:tcPr>
            <w:tcW w:w="3508" w:type="dxa"/>
            <w:tcBorders>
              <w:top w:val="nil"/>
              <w:left w:val="nil"/>
              <w:bottom w:val="nil"/>
              <w:right w:val="nil"/>
            </w:tcBorders>
            <w:shd w:val="clear" w:color="auto" w:fill="auto"/>
            <w:vAlign w:val="bottom"/>
            <w:hideMark/>
          </w:tcPr>
          <w:p w14:paraId="5A814D3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IRS</w:t>
            </w:r>
          </w:p>
        </w:tc>
        <w:tc>
          <w:tcPr>
            <w:tcW w:w="2250" w:type="dxa"/>
            <w:tcBorders>
              <w:top w:val="nil"/>
              <w:left w:val="nil"/>
              <w:bottom w:val="nil"/>
              <w:right w:val="nil"/>
            </w:tcBorders>
            <w:shd w:val="clear" w:color="auto" w:fill="auto"/>
            <w:vAlign w:val="bottom"/>
            <w:hideMark/>
          </w:tcPr>
          <w:p w14:paraId="2D7B8441"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Fed Tx Pmt</w:t>
            </w:r>
          </w:p>
        </w:tc>
        <w:tc>
          <w:tcPr>
            <w:tcW w:w="1260" w:type="dxa"/>
            <w:tcBorders>
              <w:top w:val="nil"/>
              <w:left w:val="nil"/>
              <w:bottom w:val="nil"/>
              <w:right w:val="nil"/>
            </w:tcBorders>
            <w:shd w:val="clear" w:color="auto" w:fill="auto"/>
            <w:vAlign w:val="bottom"/>
            <w:hideMark/>
          </w:tcPr>
          <w:p w14:paraId="768D8C93"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6,262.36</w:t>
            </w:r>
          </w:p>
        </w:tc>
      </w:tr>
      <w:tr w:rsidR="00976677" w:rsidRPr="00976677" w14:paraId="3DE6CEAD" w14:textId="77777777" w:rsidTr="00C322E0">
        <w:trPr>
          <w:trHeight w:val="300"/>
        </w:trPr>
        <w:tc>
          <w:tcPr>
            <w:tcW w:w="1416" w:type="dxa"/>
            <w:tcBorders>
              <w:top w:val="nil"/>
              <w:left w:val="nil"/>
              <w:bottom w:val="nil"/>
              <w:right w:val="nil"/>
            </w:tcBorders>
            <w:shd w:val="clear" w:color="auto" w:fill="auto"/>
            <w:vAlign w:val="bottom"/>
            <w:hideMark/>
          </w:tcPr>
          <w:p w14:paraId="3097E36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07/06/2023</w:t>
            </w:r>
          </w:p>
        </w:tc>
        <w:tc>
          <w:tcPr>
            <w:tcW w:w="746" w:type="dxa"/>
            <w:tcBorders>
              <w:top w:val="nil"/>
              <w:left w:val="nil"/>
              <w:bottom w:val="nil"/>
              <w:right w:val="nil"/>
            </w:tcBorders>
            <w:shd w:val="clear" w:color="auto" w:fill="auto"/>
            <w:vAlign w:val="bottom"/>
            <w:hideMark/>
          </w:tcPr>
          <w:p w14:paraId="4DFB27C7" w14:textId="77777777" w:rsidR="00976677" w:rsidRPr="00976677" w:rsidRDefault="00976677" w:rsidP="00976677">
            <w:pPr>
              <w:widowControl/>
              <w:overflowPunct/>
              <w:autoSpaceDE/>
              <w:autoSpaceDN/>
              <w:adjustRightInd/>
              <w:jc w:val="center"/>
              <w:rPr>
                <w:rFonts w:ascii="Seaford" w:hAnsi="Seaford" w:cs="Arial"/>
                <w:kern w:val="0"/>
              </w:rPr>
            </w:pPr>
            <w:r w:rsidRPr="00976677">
              <w:rPr>
                <w:rFonts w:ascii="Seaford" w:hAnsi="Seaford" w:cs="Arial"/>
                <w:kern w:val="0"/>
              </w:rPr>
              <w:t>DD</w:t>
            </w:r>
          </w:p>
        </w:tc>
        <w:tc>
          <w:tcPr>
            <w:tcW w:w="3508" w:type="dxa"/>
            <w:tcBorders>
              <w:top w:val="nil"/>
              <w:left w:val="nil"/>
              <w:bottom w:val="nil"/>
              <w:right w:val="nil"/>
            </w:tcBorders>
            <w:shd w:val="clear" w:color="auto" w:fill="auto"/>
            <w:vAlign w:val="bottom"/>
            <w:hideMark/>
          </w:tcPr>
          <w:p w14:paraId="3731DCD4"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JAMES HEIDER</w:t>
            </w:r>
          </w:p>
        </w:tc>
        <w:tc>
          <w:tcPr>
            <w:tcW w:w="2250" w:type="dxa"/>
            <w:tcBorders>
              <w:top w:val="nil"/>
              <w:left w:val="nil"/>
              <w:bottom w:val="nil"/>
              <w:right w:val="nil"/>
            </w:tcBorders>
            <w:shd w:val="clear" w:color="auto" w:fill="auto"/>
            <w:vAlign w:val="bottom"/>
            <w:hideMark/>
          </w:tcPr>
          <w:p w14:paraId="0EF17B33" w14:textId="77777777" w:rsidR="00976677" w:rsidRPr="00976677" w:rsidRDefault="00976677" w:rsidP="00976677">
            <w:pPr>
              <w:widowControl/>
              <w:overflowPunct/>
              <w:autoSpaceDE/>
              <w:autoSpaceDN/>
              <w:adjustRightInd/>
              <w:rPr>
                <w:rFonts w:ascii="Seaford" w:hAnsi="Seaford" w:cs="Arial"/>
                <w:kern w:val="0"/>
              </w:rPr>
            </w:pPr>
            <w:r w:rsidRPr="00976677">
              <w:rPr>
                <w:rFonts w:ascii="Seaford" w:hAnsi="Seaford" w:cs="Arial"/>
                <w:kern w:val="0"/>
              </w:rPr>
              <w:t>Payroll</w:t>
            </w:r>
          </w:p>
        </w:tc>
        <w:tc>
          <w:tcPr>
            <w:tcW w:w="1260" w:type="dxa"/>
            <w:tcBorders>
              <w:top w:val="nil"/>
              <w:left w:val="nil"/>
              <w:bottom w:val="nil"/>
              <w:right w:val="nil"/>
            </w:tcBorders>
            <w:shd w:val="clear" w:color="auto" w:fill="auto"/>
            <w:vAlign w:val="bottom"/>
            <w:hideMark/>
          </w:tcPr>
          <w:p w14:paraId="61100042" w14:textId="77777777" w:rsidR="00976677" w:rsidRPr="00976677" w:rsidRDefault="00976677" w:rsidP="00976677">
            <w:pPr>
              <w:widowControl/>
              <w:overflowPunct/>
              <w:autoSpaceDE/>
              <w:autoSpaceDN/>
              <w:adjustRightInd/>
              <w:jc w:val="right"/>
              <w:rPr>
                <w:rFonts w:ascii="Seaford" w:hAnsi="Seaford" w:cs="Arial"/>
                <w:kern w:val="0"/>
              </w:rPr>
            </w:pPr>
            <w:r w:rsidRPr="00976677">
              <w:rPr>
                <w:rFonts w:ascii="Seaford" w:hAnsi="Seaford" w:cs="Arial"/>
                <w:kern w:val="0"/>
              </w:rPr>
              <w:t>168.22</w:t>
            </w:r>
          </w:p>
        </w:tc>
      </w:tr>
      <w:tr w:rsidR="00976677" w:rsidRPr="00976677" w14:paraId="0867446A" w14:textId="77777777" w:rsidTr="00C322E0">
        <w:trPr>
          <w:trHeight w:val="255"/>
        </w:trPr>
        <w:tc>
          <w:tcPr>
            <w:tcW w:w="1416" w:type="dxa"/>
            <w:tcBorders>
              <w:top w:val="nil"/>
              <w:left w:val="nil"/>
              <w:bottom w:val="nil"/>
              <w:right w:val="nil"/>
            </w:tcBorders>
            <w:shd w:val="clear" w:color="auto" w:fill="auto"/>
            <w:noWrap/>
            <w:vAlign w:val="bottom"/>
            <w:hideMark/>
          </w:tcPr>
          <w:p w14:paraId="5A938F7F" w14:textId="77777777" w:rsidR="00976677" w:rsidRPr="00976677" w:rsidRDefault="00976677" w:rsidP="00976677">
            <w:pPr>
              <w:widowControl/>
              <w:overflowPunct/>
              <w:autoSpaceDE/>
              <w:autoSpaceDN/>
              <w:adjustRightInd/>
              <w:jc w:val="right"/>
              <w:rPr>
                <w:rFonts w:ascii="Seaford" w:hAnsi="Seaford" w:cs="Arial"/>
                <w:kern w:val="0"/>
              </w:rPr>
            </w:pPr>
          </w:p>
        </w:tc>
        <w:tc>
          <w:tcPr>
            <w:tcW w:w="746" w:type="dxa"/>
            <w:tcBorders>
              <w:top w:val="nil"/>
              <w:left w:val="nil"/>
              <w:bottom w:val="nil"/>
              <w:right w:val="nil"/>
            </w:tcBorders>
            <w:shd w:val="clear" w:color="auto" w:fill="auto"/>
            <w:noWrap/>
            <w:vAlign w:val="bottom"/>
            <w:hideMark/>
          </w:tcPr>
          <w:p w14:paraId="69F4F45E" w14:textId="77777777" w:rsidR="00976677" w:rsidRPr="00976677" w:rsidRDefault="00976677" w:rsidP="00976677">
            <w:pPr>
              <w:widowControl/>
              <w:overflowPunct/>
              <w:autoSpaceDE/>
              <w:autoSpaceDN/>
              <w:adjustRightInd/>
              <w:rPr>
                <w:kern w:val="0"/>
              </w:rPr>
            </w:pPr>
          </w:p>
        </w:tc>
        <w:tc>
          <w:tcPr>
            <w:tcW w:w="3508" w:type="dxa"/>
            <w:tcBorders>
              <w:top w:val="nil"/>
              <w:left w:val="nil"/>
              <w:bottom w:val="nil"/>
              <w:right w:val="nil"/>
            </w:tcBorders>
            <w:shd w:val="clear" w:color="auto" w:fill="auto"/>
            <w:noWrap/>
            <w:vAlign w:val="bottom"/>
            <w:hideMark/>
          </w:tcPr>
          <w:p w14:paraId="754FB64D" w14:textId="77777777" w:rsidR="00976677" w:rsidRPr="00976677" w:rsidRDefault="00976677" w:rsidP="00976677">
            <w:pPr>
              <w:widowControl/>
              <w:overflowPunct/>
              <w:autoSpaceDE/>
              <w:autoSpaceDN/>
              <w:adjustRightInd/>
              <w:jc w:val="center"/>
              <w:rPr>
                <w:kern w:val="0"/>
              </w:rPr>
            </w:pPr>
          </w:p>
        </w:tc>
        <w:tc>
          <w:tcPr>
            <w:tcW w:w="2250" w:type="dxa"/>
            <w:tcBorders>
              <w:top w:val="nil"/>
              <w:left w:val="nil"/>
              <w:bottom w:val="nil"/>
              <w:right w:val="nil"/>
            </w:tcBorders>
            <w:shd w:val="clear" w:color="auto" w:fill="auto"/>
            <w:noWrap/>
            <w:vAlign w:val="bottom"/>
            <w:hideMark/>
          </w:tcPr>
          <w:p w14:paraId="0E11A75B" w14:textId="77777777" w:rsidR="00976677" w:rsidRPr="00976677" w:rsidRDefault="00976677" w:rsidP="00976677">
            <w:pPr>
              <w:widowControl/>
              <w:overflowPunct/>
              <w:autoSpaceDE/>
              <w:autoSpaceDN/>
              <w:adjustRightInd/>
              <w:rPr>
                <w:rFonts w:ascii="Seaford" w:hAnsi="Seaford" w:cs="Arial"/>
                <w:b/>
                <w:bCs/>
                <w:kern w:val="0"/>
              </w:rPr>
            </w:pPr>
            <w:r w:rsidRPr="00976677">
              <w:rPr>
                <w:rFonts w:ascii="Seaford" w:hAnsi="Seaford" w:cs="Arial"/>
                <w:b/>
                <w:bCs/>
                <w:kern w:val="0"/>
              </w:rPr>
              <w:t>TOTAL</w:t>
            </w:r>
          </w:p>
        </w:tc>
        <w:tc>
          <w:tcPr>
            <w:tcW w:w="1260" w:type="dxa"/>
            <w:tcBorders>
              <w:top w:val="nil"/>
              <w:left w:val="nil"/>
              <w:bottom w:val="nil"/>
              <w:right w:val="nil"/>
            </w:tcBorders>
            <w:shd w:val="clear" w:color="auto" w:fill="auto"/>
            <w:noWrap/>
            <w:vAlign w:val="bottom"/>
            <w:hideMark/>
          </w:tcPr>
          <w:p w14:paraId="564DF971" w14:textId="77777777" w:rsidR="00976677" w:rsidRPr="00976677" w:rsidRDefault="00976677" w:rsidP="00976677">
            <w:pPr>
              <w:widowControl/>
              <w:overflowPunct/>
              <w:autoSpaceDE/>
              <w:autoSpaceDN/>
              <w:adjustRightInd/>
              <w:jc w:val="right"/>
              <w:rPr>
                <w:rFonts w:ascii="Seaford" w:hAnsi="Seaford" w:cs="Arial"/>
                <w:b/>
                <w:bCs/>
                <w:kern w:val="0"/>
              </w:rPr>
            </w:pPr>
            <w:r w:rsidRPr="00976677">
              <w:rPr>
                <w:rFonts w:ascii="Seaford" w:hAnsi="Seaford" w:cs="Arial"/>
                <w:b/>
                <w:bCs/>
                <w:kern w:val="0"/>
              </w:rPr>
              <w:t>150,560.35</w:t>
            </w:r>
          </w:p>
        </w:tc>
      </w:tr>
    </w:tbl>
    <w:p w14:paraId="4EF002BB" w14:textId="77777777" w:rsidR="00976677" w:rsidRDefault="00976677" w:rsidP="00096DBA">
      <w:pPr>
        <w:rPr>
          <w:rFonts w:ascii="Candara" w:hAnsi="Candara" w:cstheme="minorHAnsi"/>
          <w:sz w:val="22"/>
          <w:szCs w:val="22"/>
        </w:rPr>
      </w:pPr>
    </w:p>
    <w:p w14:paraId="7E6DA81C" w14:textId="77777777" w:rsidR="00976677" w:rsidRDefault="00976677" w:rsidP="00096DBA">
      <w:pPr>
        <w:rPr>
          <w:rFonts w:ascii="Candara" w:hAnsi="Candara" w:cstheme="minorHAnsi"/>
          <w:sz w:val="22"/>
          <w:szCs w:val="22"/>
        </w:rPr>
      </w:pPr>
    </w:p>
    <w:p w14:paraId="0FF85A6A" w14:textId="07687773" w:rsidR="00976677" w:rsidRDefault="00976677" w:rsidP="00096DBA">
      <w:pPr>
        <w:rPr>
          <w:rFonts w:ascii="Candara" w:hAnsi="Candara" w:cstheme="minorHAnsi"/>
          <w:sz w:val="22"/>
          <w:szCs w:val="22"/>
        </w:rPr>
      </w:pPr>
      <w:r>
        <w:rPr>
          <w:rFonts w:ascii="Candara" w:hAnsi="Candara" w:cstheme="minorHAnsi"/>
          <w:sz w:val="22"/>
          <w:szCs w:val="22"/>
        </w:rPr>
        <w:t xml:space="preserve">Jeff Dickson, Ellen Dickson, David Dickson, Debbie Aakre, </w:t>
      </w:r>
      <w:r w:rsidR="009E7847">
        <w:rPr>
          <w:rFonts w:ascii="Candara" w:hAnsi="Candara" w:cstheme="minorHAnsi"/>
          <w:sz w:val="22"/>
          <w:szCs w:val="22"/>
        </w:rPr>
        <w:t xml:space="preserve">and </w:t>
      </w:r>
      <w:r>
        <w:rPr>
          <w:rFonts w:ascii="Candara" w:hAnsi="Candara" w:cstheme="minorHAnsi"/>
          <w:sz w:val="22"/>
          <w:szCs w:val="22"/>
        </w:rPr>
        <w:t>Mark Dickson</w:t>
      </w:r>
      <w:r w:rsidR="009E7847">
        <w:rPr>
          <w:rFonts w:ascii="Candara" w:hAnsi="Candara" w:cstheme="minorHAnsi"/>
          <w:sz w:val="22"/>
          <w:szCs w:val="22"/>
        </w:rPr>
        <w:t xml:space="preserve"> </w:t>
      </w:r>
      <w:r>
        <w:rPr>
          <w:rFonts w:ascii="Candara" w:hAnsi="Candara" w:cstheme="minorHAnsi"/>
          <w:sz w:val="22"/>
          <w:szCs w:val="22"/>
        </w:rPr>
        <w:t xml:space="preserve">all submitted drainage complaints against the Robert Nelson Trust in the SE ¼ Section 3 Wheatfield Township. There is a ridge in that location that was cut by natural erosion which changed the direction of the water flow. The board determined that the drainage complaints should be dismissed </w:t>
      </w:r>
      <w:r w:rsidR="0016082F">
        <w:rPr>
          <w:rFonts w:ascii="Candara" w:hAnsi="Candara" w:cstheme="minorHAnsi"/>
          <w:sz w:val="22"/>
          <w:szCs w:val="22"/>
        </w:rPr>
        <w:t xml:space="preserve">because </w:t>
      </w:r>
      <w:r>
        <w:rPr>
          <w:rFonts w:ascii="Candara" w:hAnsi="Candara" w:cstheme="minorHAnsi"/>
          <w:sz w:val="22"/>
          <w:szCs w:val="22"/>
        </w:rPr>
        <w:t xml:space="preserve">the </w:t>
      </w:r>
      <w:r w:rsidR="009E7847">
        <w:rPr>
          <w:rFonts w:ascii="Candara" w:hAnsi="Candara" w:cstheme="minorHAnsi"/>
          <w:sz w:val="22"/>
          <w:szCs w:val="22"/>
        </w:rPr>
        <w:t>ridge was cut by natural forces not by the defendant</w:t>
      </w:r>
      <w:r w:rsidR="0016082F">
        <w:rPr>
          <w:rFonts w:ascii="Candara" w:hAnsi="Candara" w:cstheme="minorHAnsi"/>
          <w:sz w:val="22"/>
          <w:szCs w:val="22"/>
        </w:rPr>
        <w:t xml:space="preserve">. </w:t>
      </w:r>
      <w:r w:rsidR="00324CE9">
        <w:rPr>
          <w:rFonts w:ascii="Candara" w:hAnsi="Candara" w:cstheme="minorHAnsi"/>
          <w:sz w:val="22"/>
          <w:szCs w:val="22"/>
        </w:rPr>
        <w:t>Tim Farrell made a motion to dismiss the complaint and Jim Heider seconded it. Tom Durkin asked for a rollcall vote with Tim, Jim, and Bob voting yes and Tom Durkin voting no.</w:t>
      </w:r>
    </w:p>
    <w:p w14:paraId="4F57E877" w14:textId="7A7E02C1" w:rsidR="009E56CB" w:rsidRDefault="009E56CB" w:rsidP="00096DBA">
      <w:pPr>
        <w:rPr>
          <w:rFonts w:ascii="Candara" w:hAnsi="Candara" w:cstheme="minorHAnsi"/>
          <w:sz w:val="22"/>
          <w:szCs w:val="22"/>
        </w:rPr>
      </w:pPr>
    </w:p>
    <w:p w14:paraId="6268B9F2" w14:textId="68A5372F" w:rsidR="00553168" w:rsidRDefault="00553168" w:rsidP="00096DBA">
      <w:pPr>
        <w:rPr>
          <w:rFonts w:ascii="Candara" w:hAnsi="Candara" w:cstheme="minorHAnsi"/>
          <w:sz w:val="22"/>
          <w:szCs w:val="22"/>
        </w:rPr>
      </w:pPr>
      <w:r>
        <w:rPr>
          <w:rFonts w:ascii="Candara" w:hAnsi="Candara" w:cstheme="minorHAnsi"/>
          <w:sz w:val="22"/>
          <w:szCs w:val="22"/>
        </w:rPr>
        <w:t xml:space="preserve">The culverts in Union Township Section 27 on Legal Drain #28, </w:t>
      </w:r>
      <w:r w:rsidR="00EA3BE9">
        <w:rPr>
          <w:rFonts w:ascii="Candara" w:hAnsi="Candara" w:cstheme="minorHAnsi"/>
          <w:sz w:val="22"/>
          <w:szCs w:val="22"/>
        </w:rPr>
        <w:t>which are currently two</w:t>
      </w:r>
      <w:r>
        <w:rPr>
          <w:rFonts w:ascii="Candara" w:hAnsi="Candara" w:cstheme="minorHAnsi"/>
          <w:sz w:val="22"/>
          <w:szCs w:val="22"/>
        </w:rPr>
        <w:t xml:space="preserve"> 32” </w:t>
      </w:r>
      <w:r w:rsidR="00EA3BE9">
        <w:rPr>
          <w:rFonts w:ascii="Candara" w:hAnsi="Candara" w:cstheme="minorHAnsi"/>
          <w:sz w:val="22"/>
          <w:szCs w:val="22"/>
        </w:rPr>
        <w:t>culverts</w:t>
      </w:r>
      <w:r>
        <w:rPr>
          <w:rFonts w:ascii="Candara" w:hAnsi="Candara" w:cstheme="minorHAnsi"/>
          <w:sz w:val="22"/>
          <w:szCs w:val="22"/>
        </w:rPr>
        <w:t xml:space="preserve"> will be replaced with two “</w:t>
      </w:r>
      <w:r w:rsidR="0016082F">
        <w:rPr>
          <w:rFonts w:ascii="Candara" w:hAnsi="Candara" w:cstheme="minorHAnsi"/>
          <w:sz w:val="22"/>
          <w:szCs w:val="22"/>
        </w:rPr>
        <w:t>48-inch</w:t>
      </w:r>
      <w:r>
        <w:rPr>
          <w:rFonts w:ascii="Candara" w:hAnsi="Candara" w:cstheme="minorHAnsi"/>
          <w:sz w:val="22"/>
          <w:szCs w:val="22"/>
        </w:rPr>
        <w:t xml:space="preserve"> </w:t>
      </w:r>
      <w:r w:rsidR="0016082F">
        <w:rPr>
          <w:rFonts w:ascii="Candara" w:hAnsi="Candara" w:cstheme="minorHAnsi"/>
          <w:sz w:val="22"/>
          <w:szCs w:val="22"/>
        </w:rPr>
        <w:t>culverts.</w:t>
      </w:r>
      <w:r>
        <w:rPr>
          <w:rFonts w:ascii="Candara" w:hAnsi="Candara" w:cstheme="minorHAnsi"/>
          <w:sz w:val="22"/>
          <w:szCs w:val="22"/>
        </w:rPr>
        <w:t xml:space="preserve">  </w:t>
      </w:r>
    </w:p>
    <w:p w14:paraId="745251D6" w14:textId="77777777" w:rsidR="00EA3BE9" w:rsidRDefault="00EA3BE9" w:rsidP="00096DBA">
      <w:pPr>
        <w:rPr>
          <w:rFonts w:ascii="Candara" w:hAnsi="Candara" w:cstheme="minorHAnsi"/>
          <w:sz w:val="22"/>
          <w:szCs w:val="22"/>
        </w:rPr>
      </w:pPr>
    </w:p>
    <w:p w14:paraId="34E3B752" w14:textId="1A53109D" w:rsidR="00EA3BE9" w:rsidRDefault="00EA3BE9" w:rsidP="00096DBA">
      <w:pPr>
        <w:rPr>
          <w:rFonts w:ascii="Candara" w:hAnsi="Candara" w:cstheme="minorHAnsi"/>
          <w:sz w:val="22"/>
          <w:szCs w:val="22"/>
        </w:rPr>
      </w:pPr>
      <w:r>
        <w:rPr>
          <w:rFonts w:ascii="Candara" w:hAnsi="Candara" w:cstheme="minorHAnsi"/>
          <w:sz w:val="22"/>
          <w:szCs w:val="22"/>
        </w:rPr>
        <w:t xml:space="preserve">Tim Farrell spoke with Mortenson spraying again </w:t>
      </w:r>
      <w:r w:rsidR="00547EC5">
        <w:rPr>
          <w:rFonts w:ascii="Candara" w:hAnsi="Candara" w:cstheme="minorHAnsi"/>
          <w:sz w:val="22"/>
          <w:szCs w:val="22"/>
        </w:rPr>
        <w:t>on dam site #8</w:t>
      </w:r>
    </w:p>
    <w:p w14:paraId="4F3CAB09" w14:textId="77777777" w:rsidR="009E56CB" w:rsidRPr="004D6374" w:rsidRDefault="009E56CB" w:rsidP="00096DBA">
      <w:pPr>
        <w:rPr>
          <w:rFonts w:ascii="Candara" w:hAnsi="Candara" w:cstheme="minorHAnsi"/>
        </w:rPr>
      </w:pPr>
    </w:p>
    <w:p w14:paraId="31998155" w14:textId="15A21191" w:rsidR="000D7E76" w:rsidRDefault="00EA3BE9" w:rsidP="00096DBA">
      <w:pPr>
        <w:rPr>
          <w:rFonts w:ascii="Candara" w:hAnsi="Candara" w:cstheme="minorHAnsi"/>
          <w:sz w:val="22"/>
          <w:szCs w:val="22"/>
        </w:rPr>
      </w:pPr>
      <w:r>
        <w:rPr>
          <w:rFonts w:ascii="Candara" w:hAnsi="Candara" w:cstheme="minorHAnsi"/>
          <w:sz w:val="22"/>
          <w:szCs w:val="22"/>
        </w:rPr>
        <w:t>Nat’s email concerning the culvert at Kolding Dam will be addressed next week during the O&amp;M. The issue with the water pressure at Larimore Dam RV Park was addressed and the sec/treasurer will contact Tri County Water and see if we can get on their agenda to discuss it.</w:t>
      </w:r>
    </w:p>
    <w:p w14:paraId="67B4764F" w14:textId="77777777" w:rsidR="00EA3BE9" w:rsidRDefault="00EA3BE9" w:rsidP="00096DBA">
      <w:pPr>
        <w:rPr>
          <w:rFonts w:ascii="Candara" w:hAnsi="Candara" w:cstheme="minorHAnsi"/>
          <w:sz w:val="22"/>
          <w:szCs w:val="22"/>
        </w:rPr>
      </w:pPr>
    </w:p>
    <w:p w14:paraId="7D4D75A7" w14:textId="18C57D71" w:rsidR="002F24B5" w:rsidRDefault="00547EC5" w:rsidP="00096DBA">
      <w:pPr>
        <w:rPr>
          <w:rFonts w:ascii="Candara" w:hAnsi="Candara" w:cstheme="minorHAnsi"/>
          <w:sz w:val="22"/>
          <w:szCs w:val="22"/>
        </w:rPr>
      </w:pPr>
      <w:r>
        <w:rPr>
          <w:rFonts w:ascii="Candara" w:hAnsi="Candara" w:cstheme="minorHAnsi"/>
          <w:sz w:val="22"/>
          <w:szCs w:val="22"/>
        </w:rPr>
        <w:t>Lynn Lindseth, John Fitchner, and Grady Thorsgaard addressed the board concerning the English Coulee in Fairfield Township and their wish to clean out the south si</w:t>
      </w:r>
      <w:r w:rsidR="002F24B5">
        <w:rPr>
          <w:rFonts w:ascii="Candara" w:hAnsi="Candara" w:cstheme="minorHAnsi"/>
          <w:sz w:val="22"/>
          <w:szCs w:val="22"/>
        </w:rPr>
        <w:t>de of the north side of Section 24 in Fairfield township.  The board agreed due to the fact that it will enhance our ability to utilize our flowage easement on the English Coulee Dam, that the board would use our excavator do the work with and split the cost by thirds with Lynn Lindseth and Grady Thorsgaard, not to exceed $1500.00.  Tom Durkin made that motion and Jim Heider seconded it.</w:t>
      </w:r>
    </w:p>
    <w:p w14:paraId="60B5EFC7" w14:textId="77777777" w:rsidR="002F24B5" w:rsidRDefault="002F24B5" w:rsidP="00096DBA">
      <w:pPr>
        <w:rPr>
          <w:rFonts w:ascii="Candara" w:hAnsi="Candara" w:cstheme="minorHAnsi"/>
          <w:sz w:val="22"/>
          <w:szCs w:val="22"/>
        </w:rPr>
      </w:pPr>
    </w:p>
    <w:p w14:paraId="27D64756" w14:textId="77777777" w:rsidR="0016082F" w:rsidRDefault="002F24B5" w:rsidP="00096DBA">
      <w:pPr>
        <w:rPr>
          <w:rFonts w:ascii="Candara" w:hAnsi="Candara" w:cstheme="minorHAnsi"/>
          <w:sz w:val="22"/>
          <w:szCs w:val="22"/>
        </w:rPr>
      </w:pPr>
      <w:r>
        <w:rPr>
          <w:rFonts w:ascii="Candara" w:hAnsi="Candara" w:cstheme="minorHAnsi"/>
          <w:sz w:val="22"/>
          <w:szCs w:val="22"/>
        </w:rPr>
        <w:t>The board received a drain tile permit from Richard Ostlie and Mike Dahlen for the SW ¼ of Section 31 in Pleasant View Township. Tom Durkin</w:t>
      </w:r>
      <w:r w:rsidR="0016082F">
        <w:rPr>
          <w:rFonts w:ascii="Candara" w:hAnsi="Candara" w:cstheme="minorHAnsi"/>
          <w:sz w:val="22"/>
          <w:szCs w:val="22"/>
        </w:rPr>
        <w:t xml:space="preserve"> made the motion to approve the permit and Jim Heider seconded it.</w:t>
      </w:r>
    </w:p>
    <w:p w14:paraId="64EF58C6" w14:textId="07356E54" w:rsidR="002F24B5" w:rsidRDefault="002F24B5" w:rsidP="00096DBA">
      <w:pPr>
        <w:rPr>
          <w:rFonts w:ascii="Candara" w:hAnsi="Candara" w:cstheme="minorHAnsi"/>
          <w:sz w:val="22"/>
          <w:szCs w:val="22"/>
        </w:rPr>
      </w:pPr>
      <w:r>
        <w:rPr>
          <w:rFonts w:ascii="Candara" w:hAnsi="Candara" w:cstheme="minorHAnsi"/>
          <w:sz w:val="22"/>
          <w:szCs w:val="22"/>
        </w:rPr>
        <w:t xml:space="preserve"> </w:t>
      </w:r>
    </w:p>
    <w:p w14:paraId="50CB6180" w14:textId="5BCD08BE" w:rsidR="00EA3BE9" w:rsidRDefault="0016082F" w:rsidP="00096DBA">
      <w:pPr>
        <w:rPr>
          <w:rFonts w:ascii="Candara" w:hAnsi="Candara" w:cstheme="minorHAnsi"/>
          <w:sz w:val="22"/>
          <w:szCs w:val="22"/>
        </w:rPr>
      </w:pPr>
      <w:r>
        <w:rPr>
          <w:rFonts w:ascii="Candara" w:hAnsi="Candara" w:cstheme="minorHAnsi"/>
          <w:sz w:val="22"/>
          <w:szCs w:val="22"/>
        </w:rPr>
        <w:t>Tim Farrell mentioned that he thinks the board should reconsider the request from Nelson County to do cleaning on the border ditch in Moraine Township. Tim and Jerry will investigate</w:t>
      </w:r>
      <w:r w:rsidR="001C6660">
        <w:rPr>
          <w:rFonts w:ascii="Candara" w:hAnsi="Candara" w:cstheme="minorHAnsi"/>
          <w:sz w:val="22"/>
          <w:szCs w:val="22"/>
        </w:rPr>
        <w:t xml:space="preserve"> the area.</w:t>
      </w:r>
    </w:p>
    <w:p w14:paraId="63652AF8" w14:textId="77777777" w:rsidR="001C6660" w:rsidRDefault="001C6660" w:rsidP="00096DBA">
      <w:pPr>
        <w:rPr>
          <w:rFonts w:ascii="Candara" w:hAnsi="Candara" w:cstheme="minorHAnsi"/>
          <w:sz w:val="22"/>
          <w:szCs w:val="22"/>
        </w:rPr>
      </w:pPr>
    </w:p>
    <w:p w14:paraId="7BD2D5BF" w14:textId="5200EE2A" w:rsidR="001C6660" w:rsidRDefault="0066681C" w:rsidP="00096DBA">
      <w:pPr>
        <w:rPr>
          <w:rFonts w:ascii="Candara" w:hAnsi="Candara" w:cstheme="minorHAnsi"/>
          <w:sz w:val="22"/>
          <w:szCs w:val="22"/>
        </w:rPr>
      </w:pPr>
      <w:r>
        <w:rPr>
          <w:rFonts w:ascii="Candara" w:hAnsi="Candara" w:cstheme="minorHAnsi"/>
          <w:sz w:val="22"/>
          <w:szCs w:val="22"/>
        </w:rPr>
        <w:t>Dan Gaustad updated the board on LD#58.</w:t>
      </w:r>
    </w:p>
    <w:p w14:paraId="6D2399AB" w14:textId="77777777" w:rsidR="0066681C" w:rsidRDefault="0066681C" w:rsidP="00096DBA">
      <w:pPr>
        <w:rPr>
          <w:rFonts w:ascii="Candara" w:hAnsi="Candara" w:cstheme="minorHAnsi"/>
          <w:sz w:val="22"/>
          <w:szCs w:val="22"/>
        </w:rPr>
      </w:pPr>
    </w:p>
    <w:p w14:paraId="3E129ECC" w14:textId="2281775E" w:rsidR="00643399" w:rsidRPr="00B432B4" w:rsidRDefault="0066681C" w:rsidP="00643399">
      <w:pPr>
        <w:rPr>
          <w:rFonts w:ascii="Candara" w:hAnsi="Candara" w:cstheme="minorHAnsi"/>
          <w:sz w:val="22"/>
          <w:szCs w:val="22"/>
        </w:rPr>
      </w:pPr>
      <w:r>
        <w:rPr>
          <w:rFonts w:ascii="Candara" w:hAnsi="Candara" w:cstheme="minorHAnsi"/>
          <w:sz w:val="22"/>
          <w:szCs w:val="22"/>
        </w:rPr>
        <w:t xml:space="preserve">Tim Farrell </w:t>
      </w:r>
      <w:r w:rsidR="005B27D9" w:rsidRPr="00B432B4">
        <w:rPr>
          <w:rFonts w:ascii="Candara" w:hAnsi="Candara" w:cstheme="minorHAnsi"/>
          <w:sz w:val="22"/>
          <w:szCs w:val="22"/>
        </w:rPr>
        <w:t>m</w:t>
      </w:r>
      <w:r w:rsidR="00643399" w:rsidRPr="00B432B4">
        <w:rPr>
          <w:rFonts w:ascii="Candara" w:hAnsi="Candara" w:cstheme="minorHAnsi"/>
          <w:sz w:val="22"/>
          <w:szCs w:val="22"/>
        </w:rPr>
        <w:t>ade a mot</w:t>
      </w:r>
      <w:r w:rsidR="00825082" w:rsidRPr="00B432B4">
        <w:rPr>
          <w:rFonts w:ascii="Candara" w:hAnsi="Candara" w:cstheme="minorHAnsi"/>
          <w:sz w:val="22"/>
          <w:szCs w:val="22"/>
        </w:rPr>
        <w:t xml:space="preserve">ion to </w:t>
      </w:r>
      <w:r w:rsidR="00896747" w:rsidRPr="00B432B4">
        <w:rPr>
          <w:rFonts w:ascii="Candara" w:hAnsi="Candara" w:cstheme="minorHAnsi"/>
          <w:sz w:val="22"/>
          <w:szCs w:val="22"/>
        </w:rPr>
        <w:t>adjourn,</w:t>
      </w:r>
      <w:r w:rsidR="00825082" w:rsidRPr="00B432B4">
        <w:rPr>
          <w:rFonts w:ascii="Candara" w:hAnsi="Candara" w:cstheme="minorHAnsi"/>
          <w:sz w:val="22"/>
          <w:szCs w:val="22"/>
        </w:rPr>
        <w:t xml:space="preserve"> and</w:t>
      </w:r>
      <w:r>
        <w:rPr>
          <w:rFonts w:ascii="Candara" w:hAnsi="Candara" w:cstheme="minorHAnsi"/>
          <w:sz w:val="22"/>
          <w:szCs w:val="22"/>
        </w:rPr>
        <w:t xml:space="preserve"> Tom Durkin</w:t>
      </w:r>
      <w:r w:rsidR="00F24EFE">
        <w:rPr>
          <w:rFonts w:ascii="Candara" w:hAnsi="Candara" w:cstheme="minorHAnsi"/>
          <w:sz w:val="22"/>
          <w:szCs w:val="22"/>
        </w:rPr>
        <w:t xml:space="preserve"> </w:t>
      </w:r>
      <w:r w:rsidR="00643399" w:rsidRPr="00B432B4">
        <w:rPr>
          <w:rFonts w:ascii="Candara" w:hAnsi="Candara" w:cstheme="minorHAnsi"/>
          <w:sz w:val="22"/>
          <w:szCs w:val="22"/>
        </w:rPr>
        <w:t>seconded it.</w:t>
      </w:r>
    </w:p>
    <w:p w14:paraId="6B62DE4F" w14:textId="77777777" w:rsidR="004575AF" w:rsidRPr="00B432B4" w:rsidRDefault="004575AF" w:rsidP="00E94BD6">
      <w:pPr>
        <w:tabs>
          <w:tab w:val="left" w:pos="720"/>
          <w:tab w:val="decimal" w:leader="hyphen" w:pos="7110"/>
        </w:tabs>
        <w:rPr>
          <w:rFonts w:ascii="Candara" w:hAnsi="Candara" w:cstheme="minorHAnsi"/>
          <w:sz w:val="22"/>
          <w:szCs w:val="22"/>
        </w:rPr>
      </w:pPr>
      <w:r w:rsidRPr="00B432B4">
        <w:rPr>
          <w:rFonts w:ascii="Candara" w:hAnsi="Candara" w:cstheme="minorHAnsi"/>
          <w:sz w:val="22"/>
          <w:szCs w:val="22"/>
        </w:rPr>
        <w:lastRenderedPageBreak/>
        <w:tab/>
      </w:r>
      <w:r w:rsidRPr="00B432B4">
        <w:rPr>
          <w:rFonts w:ascii="Candara" w:hAnsi="Candara" w:cstheme="minorHAnsi"/>
          <w:i/>
          <w:sz w:val="22"/>
          <w:szCs w:val="22"/>
        </w:rPr>
        <w:t xml:space="preserve"> </w:t>
      </w:r>
    </w:p>
    <w:p w14:paraId="4AF7739C" w14:textId="77777777" w:rsidR="004575AF" w:rsidRPr="00B432B4" w:rsidRDefault="004575AF" w:rsidP="00E94BD6">
      <w:pPr>
        <w:rPr>
          <w:rFonts w:ascii="Candara" w:hAnsi="Candara" w:cstheme="minorHAnsi"/>
          <w:sz w:val="22"/>
          <w:szCs w:val="22"/>
        </w:rPr>
      </w:pP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t>Respectfully Submitted,</w:t>
      </w:r>
    </w:p>
    <w:p w14:paraId="329CBEAD" w14:textId="77777777" w:rsidR="004575AF" w:rsidRPr="00B432B4" w:rsidRDefault="004575AF" w:rsidP="00E94BD6">
      <w:pPr>
        <w:rPr>
          <w:rFonts w:ascii="Candara" w:hAnsi="Candara" w:cstheme="minorHAnsi"/>
          <w:sz w:val="22"/>
          <w:szCs w:val="22"/>
        </w:rPr>
      </w:pPr>
    </w:p>
    <w:p w14:paraId="424BB4DC" w14:textId="77777777" w:rsidR="004575AF" w:rsidRPr="00B432B4" w:rsidRDefault="004575AF" w:rsidP="00E94BD6">
      <w:pPr>
        <w:rPr>
          <w:rFonts w:ascii="Candara" w:hAnsi="Candara" w:cstheme="minorHAnsi"/>
          <w:sz w:val="22"/>
          <w:szCs w:val="22"/>
        </w:rPr>
      </w:pP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t>______________________________</w:t>
      </w:r>
    </w:p>
    <w:p w14:paraId="6D6636BC" w14:textId="77777777" w:rsidR="004575AF" w:rsidRPr="00B432B4" w:rsidRDefault="004575AF" w:rsidP="00E94BD6">
      <w:pPr>
        <w:rPr>
          <w:rFonts w:ascii="Candara" w:hAnsi="Candara" w:cstheme="minorHAnsi"/>
          <w:sz w:val="22"/>
          <w:szCs w:val="22"/>
        </w:rPr>
      </w:pP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t>Kari Lavecchia/Secretary-Treasurer</w:t>
      </w:r>
    </w:p>
    <w:p w14:paraId="35D61AA2" w14:textId="77777777" w:rsidR="004575AF" w:rsidRPr="00B432B4" w:rsidRDefault="004575AF" w:rsidP="00E94BD6">
      <w:pPr>
        <w:rPr>
          <w:rFonts w:ascii="Candara" w:hAnsi="Candara" w:cstheme="minorHAnsi"/>
          <w:sz w:val="22"/>
          <w:szCs w:val="22"/>
        </w:rPr>
      </w:pPr>
    </w:p>
    <w:p w14:paraId="71C892EA" w14:textId="77777777" w:rsidR="004575AF" w:rsidRPr="00B432B4" w:rsidRDefault="004575AF" w:rsidP="00E94BD6">
      <w:pPr>
        <w:rPr>
          <w:rFonts w:ascii="Candara" w:hAnsi="Candara" w:cstheme="minorHAnsi"/>
          <w:sz w:val="22"/>
          <w:szCs w:val="22"/>
        </w:rPr>
      </w:pP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r>
      <w:r w:rsidRPr="00B432B4">
        <w:rPr>
          <w:rFonts w:ascii="Candara" w:hAnsi="Candara" w:cstheme="minorHAnsi"/>
          <w:sz w:val="22"/>
          <w:szCs w:val="22"/>
        </w:rPr>
        <w:tab/>
        <w:t>______________________________</w:t>
      </w:r>
    </w:p>
    <w:p w14:paraId="70AE44AC" w14:textId="7D8978DE" w:rsidR="00630493" w:rsidRPr="00B432B4" w:rsidRDefault="00B075FF" w:rsidP="00CE70ED">
      <w:pPr>
        <w:tabs>
          <w:tab w:val="left" w:pos="720"/>
          <w:tab w:val="left" w:pos="4320"/>
          <w:tab w:val="decimal" w:leader="hyphen" w:pos="7110"/>
        </w:tabs>
        <w:rPr>
          <w:rFonts w:ascii="Candara" w:hAnsi="Candara" w:cstheme="minorHAnsi"/>
          <w:sz w:val="22"/>
          <w:szCs w:val="22"/>
        </w:rPr>
      </w:pPr>
      <w:r w:rsidRPr="00B432B4">
        <w:rPr>
          <w:rFonts w:ascii="Candara" w:hAnsi="Candara" w:cstheme="minorHAnsi"/>
          <w:sz w:val="22"/>
          <w:szCs w:val="22"/>
        </w:rPr>
        <w:tab/>
      </w:r>
      <w:r w:rsidRPr="00B432B4">
        <w:rPr>
          <w:rFonts w:ascii="Candara" w:hAnsi="Candara" w:cstheme="minorHAnsi"/>
          <w:sz w:val="22"/>
          <w:szCs w:val="22"/>
        </w:rPr>
        <w:tab/>
      </w:r>
      <w:r w:rsidR="00E812E3" w:rsidRPr="00B432B4">
        <w:rPr>
          <w:rFonts w:ascii="Candara" w:hAnsi="Candara" w:cstheme="minorHAnsi"/>
          <w:sz w:val="22"/>
          <w:szCs w:val="22"/>
        </w:rPr>
        <w:t>Tom Perdue</w:t>
      </w:r>
      <w:r w:rsidRPr="00B432B4">
        <w:rPr>
          <w:rFonts w:ascii="Candara" w:hAnsi="Candara" w:cstheme="minorHAnsi"/>
          <w:sz w:val="22"/>
          <w:szCs w:val="22"/>
        </w:rPr>
        <w:t>/Chairman</w:t>
      </w:r>
    </w:p>
    <w:sectPr w:rsidR="00630493" w:rsidRPr="00B432B4" w:rsidSect="00C322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F662" w14:textId="77777777" w:rsidR="00E26CBB" w:rsidRDefault="00E26CBB" w:rsidP="00B959AA">
      <w:r>
        <w:separator/>
      </w:r>
    </w:p>
  </w:endnote>
  <w:endnote w:type="continuationSeparator" w:id="0">
    <w:p w14:paraId="6A9AA68C" w14:textId="77777777" w:rsidR="00E26CBB" w:rsidRDefault="00E26CBB"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aford">
    <w:altName w:val="Calibri"/>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C315" w14:textId="77777777" w:rsidR="00C322E0" w:rsidRDefault="00C32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6AA8" w14:textId="77777777" w:rsidR="00C322E0" w:rsidRDefault="00C3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6CAC" w14:textId="77777777" w:rsidR="00E26CBB" w:rsidRDefault="00E26CBB" w:rsidP="00B959AA">
      <w:r>
        <w:separator/>
      </w:r>
    </w:p>
  </w:footnote>
  <w:footnote w:type="continuationSeparator" w:id="0">
    <w:p w14:paraId="4C5E7782" w14:textId="77777777" w:rsidR="00E26CBB" w:rsidRDefault="00E26CBB"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2961" w14:textId="5C5A92F2" w:rsidR="00C322E0" w:rsidRDefault="00C322E0">
    <w:pPr>
      <w:pStyle w:val="Header"/>
    </w:pPr>
    <w:r>
      <w:rPr>
        <w:noProof/>
      </w:rPr>
      <w:pict w14:anchorId="31246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04" o:spid="_x0000_s2050" type="#_x0000_t136" style="position:absolute;margin-left:0;margin-top:0;width:195.75pt;height:87pt;rotation:315;z-index:-251655168;mso-position-horizontal:center;mso-position-horizontal-relative:margin;mso-position-vertical:center;mso-position-vertical-relative:margin" o:allowincell="f" fillcolor="silver" stroked="f">
          <v:fill opacity=".5"/>
          <v:textpath style="font-family:&quot;Segoe UI&quot;;font-size:66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90EB" w14:textId="7A8D64C6" w:rsidR="008A6CFD" w:rsidRDefault="00C322E0">
    <w:pPr>
      <w:tabs>
        <w:tab w:val="center" w:pos="4320"/>
        <w:tab w:val="right" w:pos="8640"/>
      </w:tabs>
      <w:rPr>
        <w:kern w:val="0"/>
      </w:rPr>
    </w:pPr>
    <w:r>
      <w:rPr>
        <w:noProof/>
      </w:rPr>
      <w:pict w14:anchorId="26328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05" o:spid="_x0000_s2051" type="#_x0000_t136" style="position:absolute;margin-left:0;margin-top:0;width:195.75pt;height:87pt;rotation:315;z-index:-251653120;mso-position-horizontal:center;mso-position-horizontal-relative:margin;mso-position-vertical:center;mso-position-vertical-relative:margin" o:allowincell="f" fillcolor="silver" stroked="f">
          <v:fill opacity=".5"/>
          <v:textpath style="font-family:&quot;Segoe UI&quot;;font-size:66pt" string="DRAFT"/>
        </v:shape>
      </w:pict>
    </w:r>
  </w:p>
  <w:p w14:paraId="040D5FB7" w14:textId="77777777" w:rsidR="008A6CFD" w:rsidRDefault="008A6CFD">
    <w:pPr>
      <w:tabs>
        <w:tab w:val="center" w:pos="4320"/>
        <w:tab w:val="right" w:pos="8640"/>
      </w:tabs>
      <w:rPr>
        <w:rFonts w:eastAsiaTheme="minorEastAsia"/>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3641" w14:textId="276B91E4" w:rsidR="00C322E0" w:rsidRDefault="00C322E0">
    <w:pPr>
      <w:pStyle w:val="Header"/>
    </w:pPr>
    <w:r>
      <w:rPr>
        <w:noProof/>
      </w:rPr>
      <w:pict w14:anchorId="70452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03" o:spid="_x0000_s2049" type="#_x0000_t136" style="position:absolute;margin-left:0;margin-top:0;width:195.75pt;height:87pt;rotation:315;z-index:-251657216;mso-position-horizontal:center;mso-position-horizontal-relative:margin;mso-position-vertical:center;mso-position-vertical-relative:margin" o:allowincell="f" fillcolor="silver" stroked="f">
          <v:fill opacity=".5"/>
          <v:textpath style="font-family:&quot;Segoe UI&quot;;font-size:66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1A59"/>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96DBA"/>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D7E76"/>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0C92"/>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082F"/>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660"/>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25F0"/>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359E"/>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24B5"/>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4CE9"/>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94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6B54"/>
    <w:rsid w:val="004C7996"/>
    <w:rsid w:val="004D1692"/>
    <w:rsid w:val="004D16C4"/>
    <w:rsid w:val="004D34CE"/>
    <w:rsid w:val="004D4497"/>
    <w:rsid w:val="004D4AC3"/>
    <w:rsid w:val="004D5E2E"/>
    <w:rsid w:val="004D600E"/>
    <w:rsid w:val="004D6374"/>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47EC5"/>
    <w:rsid w:val="0055079B"/>
    <w:rsid w:val="0055161E"/>
    <w:rsid w:val="00553168"/>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81C"/>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A0B9C"/>
    <w:rsid w:val="006A1D0A"/>
    <w:rsid w:val="006A27C5"/>
    <w:rsid w:val="006A5020"/>
    <w:rsid w:val="006A567A"/>
    <w:rsid w:val="006A6343"/>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6907"/>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583D"/>
    <w:rsid w:val="007C6FEC"/>
    <w:rsid w:val="007D0840"/>
    <w:rsid w:val="007D1793"/>
    <w:rsid w:val="007D21F2"/>
    <w:rsid w:val="007D2756"/>
    <w:rsid w:val="007D3622"/>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1FE"/>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6747"/>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469F7"/>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677"/>
    <w:rsid w:val="00976844"/>
    <w:rsid w:val="00981E00"/>
    <w:rsid w:val="00982939"/>
    <w:rsid w:val="00982C73"/>
    <w:rsid w:val="00983A93"/>
    <w:rsid w:val="009842D3"/>
    <w:rsid w:val="00984449"/>
    <w:rsid w:val="00984A17"/>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6CB"/>
    <w:rsid w:val="009E5CB5"/>
    <w:rsid w:val="009E5CF2"/>
    <w:rsid w:val="009E6433"/>
    <w:rsid w:val="009E6E0F"/>
    <w:rsid w:val="009E7847"/>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0962"/>
    <w:rsid w:val="00B211DE"/>
    <w:rsid w:val="00B215D3"/>
    <w:rsid w:val="00B21ED8"/>
    <w:rsid w:val="00B23718"/>
    <w:rsid w:val="00B23CC1"/>
    <w:rsid w:val="00B25055"/>
    <w:rsid w:val="00B2682F"/>
    <w:rsid w:val="00B31514"/>
    <w:rsid w:val="00B320DC"/>
    <w:rsid w:val="00B33933"/>
    <w:rsid w:val="00B34285"/>
    <w:rsid w:val="00B3449F"/>
    <w:rsid w:val="00B4138A"/>
    <w:rsid w:val="00B41F53"/>
    <w:rsid w:val="00B431AC"/>
    <w:rsid w:val="00B432B4"/>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C7CB6"/>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98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2E0"/>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C84"/>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5854"/>
    <w:rsid w:val="00D565E4"/>
    <w:rsid w:val="00D56BD2"/>
    <w:rsid w:val="00D57BDB"/>
    <w:rsid w:val="00D6036D"/>
    <w:rsid w:val="00D6046C"/>
    <w:rsid w:val="00D6152F"/>
    <w:rsid w:val="00D61ABF"/>
    <w:rsid w:val="00D61BE8"/>
    <w:rsid w:val="00D6240E"/>
    <w:rsid w:val="00D63150"/>
    <w:rsid w:val="00D634D3"/>
    <w:rsid w:val="00D63AE3"/>
    <w:rsid w:val="00D64139"/>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4DE8"/>
    <w:rsid w:val="00E152B9"/>
    <w:rsid w:val="00E152FE"/>
    <w:rsid w:val="00E15833"/>
    <w:rsid w:val="00E15FE6"/>
    <w:rsid w:val="00E17AF9"/>
    <w:rsid w:val="00E219BB"/>
    <w:rsid w:val="00E23A83"/>
    <w:rsid w:val="00E23BBC"/>
    <w:rsid w:val="00E24A33"/>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274"/>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3BE9"/>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4EFE"/>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67BB8"/>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0153"/>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E72FF"/>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 w:type="paragraph" w:styleId="Header">
    <w:name w:val="header"/>
    <w:basedOn w:val="Normal"/>
    <w:link w:val="HeaderChar"/>
    <w:uiPriority w:val="99"/>
    <w:unhideWhenUsed/>
    <w:rsid w:val="00C322E0"/>
    <w:pPr>
      <w:tabs>
        <w:tab w:val="center" w:pos="4680"/>
        <w:tab w:val="right" w:pos="9360"/>
      </w:tabs>
    </w:pPr>
  </w:style>
  <w:style w:type="character" w:customStyle="1" w:styleId="HeaderChar">
    <w:name w:val="Header Char"/>
    <w:basedOn w:val="DefaultParagraphFont"/>
    <w:link w:val="Header"/>
    <w:uiPriority w:val="99"/>
    <w:rsid w:val="00C322E0"/>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C322E0"/>
    <w:pPr>
      <w:tabs>
        <w:tab w:val="center" w:pos="4680"/>
        <w:tab w:val="right" w:pos="9360"/>
      </w:tabs>
    </w:pPr>
  </w:style>
  <w:style w:type="character" w:customStyle="1" w:styleId="FooterChar">
    <w:name w:val="Footer Char"/>
    <w:basedOn w:val="DefaultParagraphFont"/>
    <w:link w:val="Footer"/>
    <w:uiPriority w:val="99"/>
    <w:rsid w:val="00C322E0"/>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187789238">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437290771">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194707492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728</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3</cp:revision>
  <cp:lastPrinted>2023-04-17T18:17:00Z</cp:lastPrinted>
  <dcterms:created xsi:type="dcterms:W3CDTF">2023-07-19T16:05:00Z</dcterms:created>
  <dcterms:modified xsi:type="dcterms:W3CDTF">2023-07-19T20:05:00Z</dcterms:modified>
</cp:coreProperties>
</file>